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离子刀（电刀）刀头</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MYCH比选（2023）147号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离子刀（电刀）刀头</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bookmarkStart w:id="30" w:name="_GoBack"/>
      <w:bookmarkEnd w:id="30"/>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6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21"/>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离子刀（电刀）刀头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组合式外固定支架或同类产品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疼痛科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植入式脊髓神经刺激器及电极导线或同类产品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全院</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电子体温计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医学检验科 </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梅毒甲苯胺红不加热血清试验诊断试剂或同类产品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除颤电极片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6"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离子刀（电刀）刀头</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4"/>
                <w:rFonts w:eastAsia="宋体"/>
                <w:lang w:val="en-US" w:eastAsia="zh-CN" w:bidi="ar"/>
              </w:rPr>
              <w:t>1</w:t>
            </w:r>
            <w:r>
              <w:rPr>
                <w:rStyle w:val="25"/>
                <w:lang w:val="en-US" w:eastAsia="zh-CN" w:bidi="ar"/>
              </w:rPr>
              <w:t>、与高频类手术设备配合使用，用于宫颈手术治疗。</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组合式外固定支架或同类产品</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1、骨科外固定用；2、由多针固定夹、连接柱、杆-杆固定夹、半环形杆、针-杆固定夹、连接杆等组成。</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疼痛科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植入式脊髓神经刺激器及电极导线或同类产品</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用于脊髓神经电刺激，辅助治疗躯干和/或四肢的慢性顽固性疼痛。</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全院</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电子体温计</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用于测量人体(腋下)体温</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医学检验科 </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梅毒甲苯胺红不加热血清试验诊断试剂或同类产品</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用于梅毒的非特异性抗体检查。</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除颤电极片</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产品与ZOLL除颤起搏监护设备配合使用，用于对成人患者进行体外除颤、心脏复律、无创起搏和心电监测。</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482266098"/>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3358"/>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6FECF0-94AA-41D0-A328-64AD664DB8FA}"/>
  </w:font>
  <w:font w:name="黑体">
    <w:panose1 w:val="02010609060101010101"/>
    <w:charset w:val="86"/>
    <w:family w:val="auto"/>
    <w:pitch w:val="default"/>
    <w:sig w:usb0="800002BF" w:usb1="38CF7CFA" w:usb2="00000016" w:usb3="00000000" w:csb0="00040001" w:csb1="00000000"/>
    <w:embedRegular r:id="rId2" w:fontKey="{8EE866B9-540C-428A-AF01-79144C48D7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3AB04192-46FB-4A1D-B829-1BDC0558E297}"/>
  </w:font>
  <w:font w:name="仿宋">
    <w:panose1 w:val="02010609060101010101"/>
    <w:charset w:val="86"/>
    <w:family w:val="modern"/>
    <w:pitch w:val="default"/>
    <w:sig w:usb0="800002BF" w:usb1="38CF7CFA" w:usb2="00000016" w:usb3="00000000" w:csb0="00040001" w:csb1="00000000"/>
    <w:embedRegular r:id="rId4" w:fontKey="{A9A18E80-68D7-409C-A3E9-0E0D06D6CB54}"/>
  </w:font>
  <w:font w:name="方正仿宋_GB2312">
    <w:panose1 w:val="02000000000000000000"/>
    <w:charset w:val="86"/>
    <w:family w:val="auto"/>
    <w:pitch w:val="default"/>
    <w:sig w:usb0="A00002BF" w:usb1="184F6CFA" w:usb2="00000012" w:usb3="00000000" w:csb0="00040001" w:csb1="00000000"/>
    <w:embedRegular r:id="rId5" w:fontKey="{59BE3198-EEB7-4702-A3FA-1F6B118C73A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mFkM2JmMDZiZDAxY2UyYjRkYzY5ZmRlOTA1ZGY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A08251B"/>
    <w:rsid w:val="151E215B"/>
    <w:rsid w:val="158C17BA"/>
    <w:rsid w:val="1E500961"/>
    <w:rsid w:val="201725C8"/>
    <w:rsid w:val="26ED7BDF"/>
    <w:rsid w:val="29276970"/>
    <w:rsid w:val="2CB63FA3"/>
    <w:rsid w:val="31C24741"/>
    <w:rsid w:val="327718A3"/>
    <w:rsid w:val="3EB968CD"/>
    <w:rsid w:val="44C666DF"/>
    <w:rsid w:val="46A00372"/>
    <w:rsid w:val="4A55439E"/>
    <w:rsid w:val="4A83608C"/>
    <w:rsid w:val="4F9D48D9"/>
    <w:rsid w:val="5C33726B"/>
    <w:rsid w:val="619E6292"/>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 w:type="character" w:customStyle="1" w:styleId="24">
    <w:name w:val="font51"/>
    <w:basedOn w:val="13"/>
    <w:qFormat/>
    <w:uiPriority w:val="0"/>
    <w:rPr>
      <w:rFonts w:hint="default" w:ascii="Arial" w:hAnsi="Arial" w:cs="Arial"/>
      <w:color w:val="000000"/>
      <w:sz w:val="18"/>
      <w:szCs w:val="18"/>
      <w:u w:val="none"/>
    </w:rPr>
  </w:style>
  <w:style w:type="character" w:customStyle="1" w:styleId="25">
    <w:name w:val="font3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兔斯基～～～</cp:lastModifiedBy>
  <dcterms:modified xsi:type="dcterms:W3CDTF">2024-01-03T07:50:29Z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632D618E6CEE49048B9CA2EFA904EAA6_13</vt:lpwstr>
  </property>
</Properties>
</file>