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可吸收骨结合植入物或同类产品</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w:t>
      </w:r>
      <w:r>
        <w:rPr>
          <w:rFonts w:hint="eastAsia" w:ascii="黑体" w:hAnsi="黑体" w:eastAsia="黑体" w:cs="黑体"/>
          <w:spacing w:val="7"/>
          <w:sz w:val="36"/>
          <w:szCs w:val="36"/>
          <w:lang w:eastAsia="zh-CN"/>
        </w:rPr>
        <w:t>（2023）146号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bookmarkStart w:id="30" w:name="_GoBack"/>
      <w:r>
        <w:rPr>
          <w:rFonts w:hint="eastAsia" w:ascii="仿宋" w:hAnsi="仿宋" w:eastAsia="仿宋" w:cs="仿宋"/>
          <w:spacing w:val="8"/>
          <w:sz w:val="31"/>
          <w:szCs w:val="31"/>
          <w:lang w:val="en-US" w:eastAsia="zh-CN"/>
        </w:rPr>
        <w:t>可吸收骨结合植入物或同类产品</w:t>
      </w:r>
      <w:bookmarkEnd w:id="30"/>
      <w:r>
        <w:rPr>
          <w:rFonts w:hint="eastAsia" w:ascii="仿宋" w:hAnsi="仿宋" w:eastAsia="仿宋" w:cs="仿宋"/>
          <w:spacing w:val="8"/>
          <w:sz w:val="31"/>
          <w:szCs w:val="31"/>
          <w:lang w:val="en-US" w:eastAsia="zh-CN"/>
        </w:rPr>
        <w:t>等耗材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67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921"/>
        <w:gridCol w:w="3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92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3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3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可吸收骨接合植入物或同类产品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3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促黄体生成素检测试剂(胶体金法)</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9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2166"/>
        <w:gridCol w:w="3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c>
          <w:tcPr>
            <w:tcW w:w="216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产品用途及技术参数</w:t>
            </w:r>
          </w:p>
        </w:tc>
        <w:tc>
          <w:tcPr>
            <w:tcW w:w="38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6"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可吸收骨接合植入物或同类产品</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1、用于骨折的固定，含截骨术，骨融合、关节面等的固定。</w:t>
            </w:r>
          </w:p>
        </w:tc>
        <w:tc>
          <w:tcPr>
            <w:tcW w:w="38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1、在四川省《药品和医用耗材招采管理系统》价格联动挂网专区挂网的产品优先；2、可计费材料医保码在四川省医保局可查询。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促黄体生成素检测试剂(胶体金法)</w:t>
            </w:r>
          </w:p>
        </w:tc>
        <w:tc>
          <w:tcPr>
            <w:tcW w:w="216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用于定性检测人体尿液中的促黄体生成素水平</w:t>
            </w:r>
          </w:p>
        </w:tc>
        <w:tc>
          <w:tcPr>
            <w:tcW w:w="38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在四川省《药品和医用耗材招采管理系统》价格联动挂网专区挂网的产品优先。</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11832062"/>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482266101"/>
      <w:bookmarkStart w:id="8" w:name="_Toc11764032"/>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43397367"/>
      <w:bookmarkStart w:id="27" w:name="_Toc443393358"/>
      <w:bookmarkStart w:id="28" w:name="_Toc13563883"/>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CAF64F-49C4-4A78-BFFD-603A50B1E0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90B49AF-DCFD-435B-B5E8-F0AC027324A4}"/>
  </w:font>
  <w:font w:name="仿宋">
    <w:panose1 w:val="02010609060101010101"/>
    <w:charset w:val="86"/>
    <w:family w:val="modern"/>
    <w:pitch w:val="default"/>
    <w:sig w:usb0="800002BF" w:usb1="38CF7CFA" w:usb2="00000016" w:usb3="00000000" w:csb0="00040001" w:csb1="00000000"/>
    <w:embedRegular r:id="rId3" w:fontKey="{4F03ECE8-F534-4C3D-AB23-CD3D272448ED}"/>
  </w:font>
  <w:font w:name="方正仿宋_GB2312">
    <w:panose1 w:val="02000000000000000000"/>
    <w:charset w:val="86"/>
    <w:family w:val="auto"/>
    <w:pitch w:val="default"/>
    <w:sig w:usb0="A00002BF" w:usb1="184F6CFA" w:usb2="00000012" w:usb3="00000000" w:csb0="00040001" w:csb1="00000000"/>
    <w:embedRegular r:id="rId4" w:fontKey="{0A6D52FC-BA1D-4A07-9393-3A75D9A04FB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ZmFkM2JmMDZiZDAxY2UyYjRkYzY5ZmRlOTA1ZGY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51E215B"/>
    <w:rsid w:val="158C17BA"/>
    <w:rsid w:val="1AD269DB"/>
    <w:rsid w:val="1E500961"/>
    <w:rsid w:val="201725C8"/>
    <w:rsid w:val="26ED7BDF"/>
    <w:rsid w:val="29276970"/>
    <w:rsid w:val="2CB63FA3"/>
    <w:rsid w:val="31C24741"/>
    <w:rsid w:val="327718A3"/>
    <w:rsid w:val="3EB968CD"/>
    <w:rsid w:val="435B2F78"/>
    <w:rsid w:val="44C666DF"/>
    <w:rsid w:val="46A00372"/>
    <w:rsid w:val="4A55439E"/>
    <w:rsid w:val="4A83608C"/>
    <w:rsid w:val="4F9D48D9"/>
    <w:rsid w:val="5C33726B"/>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TotalTime>
  <ScaleCrop>false</ScaleCrop>
  <LinksUpToDate>false</LinksUpToDate>
  <CharactersWithSpaces>6201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兔斯基～～～</cp:lastModifiedBy>
  <dcterms:modified xsi:type="dcterms:W3CDTF">2023-12-18T08:10:42Z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632D618E6CEE49048B9CA2EFA904EAA6_13</vt:lpwstr>
  </property>
</Properties>
</file>