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default" w:ascii="黑体" w:hAnsi="黑体" w:eastAsia="黑体" w:cs="黑体"/>
          <w:spacing w:val="8"/>
          <w:sz w:val="36"/>
          <w:szCs w:val="36"/>
          <w:lang w:val="en-US" w:eastAsia="zh-CN"/>
        </w:rPr>
      </w:pPr>
      <w:r>
        <w:rPr>
          <w:rFonts w:hint="eastAsia" w:ascii="黑体" w:hAnsi="黑体" w:eastAsia="黑体" w:cs="黑体"/>
          <w:spacing w:val="8"/>
          <w:sz w:val="36"/>
          <w:szCs w:val="36"/>
        </w:rPr>
        <w:t>项目名称：</w:t>
      </w:r>
      <w:r>
        <w:rPr>
          <w:rFonts w:hint="default" w:ascii="黑体" w:hAnsi="黑体" w:eastAsia="黑体" w:cs="黑体"/>
          <w:spacing w:val="8"/>
          <w:sz w:val="36"/>
          <w:szCs w:val="36"/>
          <w:lang w:val="en-US" w:eastAsia="zh-CN"/>
        </w:rPr>
        <w:t>AI智能检中客户管理系统维保服务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135</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default" w:ascii="仿宋" w:hAnsi="仿宋" w:eastAsia="仿宋" w:cs="仿宋"/>
          <w:spacing w:val="5"/>
          <w:sz w:val="31"/>
          <w:szCs w:val="31"/>
          <w:lang w:val="en-US" w:eastAsia="zh-CN"/>
        </w:rPr>
        <w:t>AI智能检中客户管理系统维保服务</w:t>
      </w: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spacing w:before="215" w:line="230" w:lineRule="auto"/>
        <w:rPr>
          <w:rFonts w:hint="default" w:ascii="仿宋" w:hAnsi="仿宋" w:eastAsia="仿宋" w:cs="仿宋"/>
          <w:spacing w:val="8"/>
          <w:sz w:val="31"/>
          <w:szCs w:val="31"/>
          <w:lang w:val="en-US" w:eastAsia="zh-CN"/>
        </w:rPr>
      </w:pPr>
      <w:r>
        <w:rPr>
          <w:rFonts w:hint="default" w:ascii="仿宋" w:hAnsi="仿宋" w:eastAsia="仿宋" w:cs="仿宋"/>
          <w:spacing w:val="8"/>
          <w:sz w:val="31"/>
          <w:szCs w:val="31"/>
          <w:lang w:val="en-US" w:eastAsia="zh-CN"/>
        </w:rPr>
        <w:t>AI智能检中客户管理系统维保服务</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2"/>
        </w:numPr>
        <w:spacing w:line="500" w:lineRule="exact"/>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维保产品清单</w:t>
      </w:r>
    </w:p>
    <w:p>
      <w:pPr>
        <w:numPr>
          <w:ilvl w:val="0"/>
          <w:numId w:val="0"/>
        </w:numPr>
        <w:spacing w:line="500" w:lineRule="exact"/>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产品品牌：北京调鼎</w:t>
      </w:r>
    </w:p>
    <w:p>
      <w:pPr>
        <w:numPr>
          <w:ilvl w:val="0"/>
          <w:numId w:val="0"/>
        </w:numPr>
        <w:spacing w:line="500" w:lineRule="exact"/>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产品名称：</w:t>
      </w:r>
      <w:r>
        <w:rPr>
          <w:rFonts w:hint="eastAsia" w:ascii="方正仿宋_GB2312" w:hAnsi="方正仿宋_GB2312" w:eastAsia="方正仿宋_GB2312" w:cs="方正仿宋_GB2312"/>
          <w:kern w:val="0"/>
          <w:sz w:val="28"/>
          <w:szCs w:val="28"/>
        </w:rPr>
        <w:t>AI智能检中客户管理系统</w:t>
      </w:r>
    </w:p>
    <w:p>
      <w:pPr>
        <w:numPr>
          <w:ilvl w:val="0"/>
          <w:numId w:val="0"/>
        </w:numPr>
        <w:spacing w:line="500" w:lineRule="exact"/>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软件版本：V2.0</w:t>
      </w:r>
    </w:p>
    <w:p>
      <w:pPr>
        <w:numPr>
          <w:ilvl w:val="0"/>
          <w:numId w:val="0"/>
        </w:numPr>
        <w:spacing w:line="500" w:lineRule="exact"/>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产品清单：</w:t>
      </w:r>
      <w:r>
        <w:rPr>
          <w:rFonts w:hint="eastAsia" w:ascii="方正仿宋_GB2312" w:hAnsi="方正仿宋_GB2312" w:eastAsia="方正仿宋_GB2312" w:cs="方正仿宋_GB2312"/>
          <w:kern w:val="0"/>
          <w:sz w:val="28"/>
          <w:szCs w:val="28"/>
        </w:rPr>
        <w:t>AI智能检中客户管理系统</w:t>
      </w:r>
      <w:r>
        <w:rPr>
          <w:rFonts w:hint="eastAsia" w:ascii="方正仿宋_GB2312" w:hAnsi="方正仿宋_GB2312" w:eastAsia="方正仿宋_GB2312" w:cs="方正仿宋_GB2312"/>
          <w:kern w:val="0"/>
          <w:sz w:val="28"/>
          <w:szCs w:val="28"/>
          <w:lang w:val="en-US" w:eastAsia="zh-CN"/>
        </w:rPr>
        <w:t>一套、21.5寸诊室屏26台、排队取号机1台</w:t>
      </w:r>
    </w:p>
    <w:p>
      <w:pPr>
        <w:numPr>
          <w:ilvl w:val="0"/>
          <w:numId w:val="2"/>
        </w:numPr>
        <w:spacing w:line="500" w:lineRule="exact"/>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维保要求</w:t>
      </w:r>
    </w:p>
    <w:p>
      <w:pPr>
        <w:pStyle w:val="21"/>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（1）需要对采购人的硬件、软件进行维护升级时，提前与医院做好沟通及技术交底，升级完成后对医院人员进行必要的培训工作，并提供硬件、软件使用及运维说明。培训对象包括医生、护士和信息科工程师。</w:t>
      </w:r>
    </w:p>
    <w:p>
      <w:pPr>
        <w:pStyle w:val="21"/>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伴随着医院业务及需求的变化，工程师应积极参与医院应用需求的收集、分析和论证工作，提供流程改造、报表编制及数据提取服务。正式发布前应会同甲方进行严格的测试工作，对原有系统环境进行备份，出具正式的测试报告，最大限度地减少因发布升级程序导致的各类系统扰动。</w:t>
      </w:r>
    </w:p>
    <w:p>
      <w:pPr>
        <w:pStyle w:val="21"/>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定期（每季度至少一次）派遣工程师到现场巡检和分析系统运行环境和状况，向医院提交巡检分析报告，针对问题及时采取调优措施，防患于未然。内容应包括：服务器及数据库系统维护，资源状态检查、服务组件检查、数据库备份、日志文件进行整理、清除无用资源等；</w:t>
      </w:r>
    </w:p>
    <w:p>
      <w:pPr>
        <w:pStyle w:val="21"/>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（4）定期（至少每月一次）电话回访甲方软件的使用科室，主动了解软件使用情况和提供指导建议，如果发现软件存在问题应及时解决，保障软件的稳定运行及高效使用。</w:t>
      </w:r>
    </w:p>
    <w:p>
      <w:pPr>
        <w:pStyle w:val="21"/>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医院在开展信息系统整体建设时，有义务协助医院在系统规划时提供技术支持，并按照医院整体方案对服务器、数据库及网络环境进行配置。在医院要求及担保下、在不破坏产品结构及保证系统安全的情况下，必须对相关应用提供技术指导和接口服务。</w:t>
      </w:r>
    </w:p>
    <w:p>
      <w:pPr>
        <w:pStyle w:val="21"/>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方正仿宋_GB2312" w:hAnsi="方正仿宋_GB2312" w:eastAsia="方正仿宋_GB2312" w:cs="方正仿宋_GB2312"/>
          <w:spacing w:val="8"/>
          <w:sz w:val="32"/>
          <w:szCs w:val="32"/>
        </w:rPr>
      </w:pPr>
      <w:r>
        <w:rPr>
          <w:rFonts w:hint="eastAsia" w:ascii="方正仿宋_GB2312" w:hAnsi="方正仿宋_GB2312" w:eastAsia="方正仿宋_GB2312" w:cs="方正仿宋_GB2312"/>
          <w:sz w:val="28"/>
          <w:szCs w:val="28"/>
          <w:lang w:val="en-US" w:eastAsia="zh-CN"/>
        </w:rPr>
        <w:t>（6）在医院整体运行环境出现系统性故障时（如：数据库问题、性能问题），应及时协调技术力量及时解决，最大限度地减少系统宕机和拥塞的时间。</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312" w:lineRule="auto"/>
        <w:rPr>
          <w:rFonts w:hint="eastAsia" w:ascii="方正仿宋_GB2312" w:hAnsi="方正仿宋_GB2312" w:eastAsia="方正仿宋_GB2312" w:cs="方正仿宋_GB2312"/>
          <w:kern w:val="0"/>
          <w:sz w:val="28"/>
          <w:szCs w:val="28"/>
        </w:rPr>
      </w:pPr>
      <w:bookmarkStart w:id="30" w:name="_GoBack"/>
      <w:r>
        <w:rPr>
          <w:rFonts w:hint="eastAsia" w:ascii="方正仿宋_GB2312" w:hAnsi="方正仿宋_GB2312" w:eastAsia="方正仿宋_GB2312" w:cs="方正仿宋_GB2312"/>
          <w:kern w:val="0"/>
          <w:sz w:val="28"/>
          <w:szCs w:val="28"/>
        </w:rPr>
        <w:t>（一）</w:t>
      </w:r>
      <w:r>
        <w:rPr>
          <w:rFonts w:hint="eastAsia" w:ascii="方正仿宋_GB2312" w:hAnsi="方正仿宋_GB2312" w:eastAsia="方正仿宋_GB2312" w:cs="方正仿宋_GB2312"/>
          <w:kern w:val="0"/>
          <w:sz w:val="28"/>
          <w:szCs w:val="28"/>
          <w:lang w:val="en-US" w:eastAsia="zh-CN"/>
        </w:rPr>
        <w:t>合同签订及服务</w:t>
      </w:r>
      <w:r>
        <w:rPr>
          <w:rFonts w:hint="eastAsia" w:ascii="方正仿宋_GB2312" w:hAnsi="方正仿宋_GB2312" w:eastAsia="方正仿宋_GB2312" w:cs="方正仿宋_GB2312"/>
          <w:kern w:val="0"/>
          <w:sz w:val="28"/>
          <w:szCs w:val="28"/>
        </w:rPr>
        <w:t>要求</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lang w:val="en-US" w:eastAsia="zh-CN"/>
        </w:rPr>
        <w:t>合同签订</w:t>
      </w:r>
      <w:r>
        <w:rPr>
          <w:rFonts w:hint="eastAsia" w:ascii="方正仿宋_GB2312" w:hAnsi="方正仿宋_GB2312" w:eastAsia="方正仿宋_GB2312" w:cs="方正仿宋_GB2312"/>
          <w:kern w:val="0"/>
          <w:sz w:val="28"/>
          <w:szCs w:val="28"/>
        </w:rPr>
        <w:t>：</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该合同维护期限从合同签订之日起算，共计三年时间，合同一年一签。</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lang w:val="en-US" w:eastAsia="zh-CN"/>
        </w:rPr>
        <w:t>服务</w:t>
      </w:r>
      <w:r>
        <w:rPr>
          <w:rFonts w:hint="eastAsia" w:ascii="方正仿宋_GB2312" w:hAnsi="方正仿宋_GB2312" w:eastAsia="方正仿宋_GB2312" w:cs="方正仿宋_GB2312"/>
          <w:kern w:val="0"/>
          <w:sz w:val="28"/>
          <w:szCs w:val="28"/>
        </w:rPr>
        <w:t>要求</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供应商必须按采购人指定的方式提供7×24小时支持维护服务并在1小时内响应，维护方式包括邮件、微信、QQ、电话等远程维护以及现场服务等方式，4个小时解决。必须保证有足够的人员及技术支持电话负责本系统运维工作，并保证24小时内派工程师到达现场、48小时之内解决问题。</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（2）现场服务：在上面两种方式不能解决问题的情况下，安排技术人员到现场服务，具体响应时间不得超过4小时。</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（3）合同有效期内，供应商须保证所维护系统的正常运行，出现问题应及时予以维修或替换，所需费用由供应商负担。</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（4）合同有效期内，当出现数据错误或不能工作时，供应商需负责检测和分析，并尽快排除故障；</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（5）合同有效期内，在出现系统整体速度减慢影响业务之前，负责检测和分析，并尽快做出预防性处置，保证系统的正常运行。</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（二）付款方式</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合同签订后，本年度维护期从签订合同之日起算，</w:t>
      </w:r>
      <w:r>
        <w:rPr>
          <w:rFonts w:hint="eastAsia" w:ascii="方正仿宋_GB2312" w:hAnsi="方正仿宋_GB2312" w:eastAsia="方正仿宋_GB2312" w:cs="方正仿宋_GB2312"/>
          <w:kern w:val="0"/>
          <w:sz w:val="28"/>
          <w:szCs w:val="28"/>
          <w:lang w:val="en-US" w:eastAsia="zh-CN"/>
        </w:rPr>
        <w:t>签订合同后，</w:t>
      </w:r>
      <w:r>
        <w:rPr>
          <w:rFonts w:hint="eastAsia" w:ascii="方正仿宋_GB2312" w:hAnsi="方正仿宋_GB2312" w:eastAsia="方正仿宋_GB2312" w:cs="方正仿宋_GB2312"/>
          <w:kern w:val="0"/>
          <w:sz w:val="28"/>
          <w:szCs w:val="28"/>
        </w:rPr>
        <w:t>采购人在收到供应商通知、正规发票、合同复印件、维保记录等相关资料后，在30个工作日内支付维护服务费用金额的50%；</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维护期满一年后，采购人在收到供应商通知、正规发票、合同复印件、维保记录等相关资料后，在30个工作日内支付维护服务费用金额的50%。</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第二年、第三年支付方式和时间不变。</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（三）违约责任</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维保服务期内如果因供应商原因造成未能按照合同约定提供服务（含提供服务达不到合同要求），由此造成的损失由供应商承担。</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服务期限内，供应商的人员违反供应商规章制度，造成损失的，供应商应赔偿采购人全部损失，并无条件更换服务（技术）人员；供应商人员操作不当或违规操作造成采购人相关数据丢失、泄露、系统瘫痪等问题，供应商应承担全部恢复责任和恢复所产生的全部费用，否则采购人有权单方面终止本合同的履行并依法追究供应商全部责任。</w:t>
      </w:r>
    </w:p>
    <w:p>
      <w:pPr>
        <w:spacing w:line="312"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（四）其他要求</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每半年服务期作为一个考核周期，采购人按照服务内容、服务要求，进行考核，一个考核周期结束，按考核结果支付年度服务费的50%的全部或部分。服务结果不能达到约定要求，经核实无误，给与警告或扣除相应比例服务费的处罚：</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普通问题：给予警告，同一问题3次警告后扣除服务费1%，如果造成严重后果或损失，扣除年度服务费3%；</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紧急问题：给予警告，同一问题2次警告后扣除服务费3%，如果造成严重后果或损失，扣除年度服务费5%；</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重大问题：给予警告后扣除服务费5%，如果造成严重后果或损失，扣除年度服务费10%或终止合同；</w:t>
      </w:r>
    </w:p>
    <w:p>
      <w:pPr>
        <w:spacing w:line="312"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灾难问题：扣除年度服务费10%或终止合同。</w:t>
      </w:r>
    </w:p>
    <w:p>
      <w:pPr>
        <w:numPr>
          <w:ilvl w:val="0"/>
          <w:numId w:val="0"/>
        </w:numPr>
        <w:spacing w:before="218" w:line="357" w:lineRule="auto"/>
        <w:ind w:left="679" w:leftChars="0" w:right="14" w:rightChars="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原则上，若无重大服务问题发生，每半年服务期作为一个考核周期，如果发生重大服务问题，考核周期可调整为季度或月，服务费支付比例也做相应的调整。</w:t>
      </w:r>
    </w:p>
    <w:bookmarkEnd w:id="30"/>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7、维保方案</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482266098"/>
      <w:bookmarkStart w:id="2" w:name="_Toc87974341"/>
      <w:bookmarkStart w:id="3" w:name="_Toc443397363"/>
      <w:bookmarkStart w:id="4" w:name="_Toc13563815"/>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11764032"/>
      <w:bookmarkStart w:id="8" w:name="_Toc1356387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479755777"/>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82266104"/>
      <w:bookmarkStart w:id="26" w:name="_Toc443397367"/>
      <w:bookmarkStart w:id="27" w:name="_Toc443393358"/>
      <w:bookmarkStart w:id="28" w:name="_Toc11764042"/>
      <w:bookmarkStart w:id="29" w:name="_Toc13563883"/>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58A553-357A-4179-A6CC-C0096B987E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E0BFA79-43D3-42EF-9E91-6DD4DF7D813C}"/>
  </w:font>
  <w:font w:name="仿宋">
    <w:panose1 w:val="02010609060101010101"/>
    <w:charset w:val="86"/>
    <w:family w:val="modern"/>
    <w:pitch w:val="default"/>
    <w:sig w:usb0="800002BF" w:usb1="38CF7CFA" w:usb2="00000016" w:usb3="00000000" w:csb0="00040001" w:csb1="00000000"/>
    <w:embedRegular r:id="rId3" w:fontKey="{9C370924-3B67-4203-A797-709E334CF862}"/>
  </w:font>
  <w:font w:name="Arial Unicode MS">
    <w:panose1 w:val="020B0604020202020204"/>
    <w:charset w:val="86"/>
    <w:family w:val="swiss"/>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4" w:fontKey="{7723788E-043F-4F43-A67D-5F1EBC58DC3D}"/>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0EB3B"/>
    <w:multiLevelType w:val="singleLevel"/>
    <w:tmpl w:val="0210EB3B"/>
    <w:lvl w:ilvl="0" w:tentative="0">
      <w:start w:val="1"/>
      <w:numFmt w:val="chineseCounting"/>
      <w:suff w:val="nothing"/>
      <w:lvlText w:val="%1、"/>
      <w:lvlJc w:val="left"/>
      <w:rPr>
        <w:rFonts w:hint="eastAsia"/>
      </w:r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CB63FA3"/>
    <w:rsid w:val="317B3E11"/>
    <w:rsid w:val="35636275"/>
    <w:rsid w:val="39D53981"/>
    <w:rsid w:val="3A6927DD"/>
    <w:rsid w:val="3B817F35"/>
    <w:rsid w:val="3BBE3857"/>
    <w:rsid w:val="42160A18"/>
    <w:rsid w:val="42EF553D"/>
    <w:rsid w:val="434165BD"/>
    <w:rsid w:val="4E6879C7"/>
    <w:rsid w:val="4FA976E5"/>
    <w:rsid w:val="58E42340"/>
    <w:rsid w:val="5C33726B"/>
    <w:rsid w:val="63371C5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qFormat/>
    <w:uiPriority w:val="0"/>
    <w:pPr>
      <w:ind w:firstLine="630"/>
    </w:pPr>
    <w:rPr>
      <w:sz w:val="32"/>
      <w:szCs w:val="20"/>
    </w:r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qFormat/>
    <w:uiPriority w:val="0"/>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qFormat/>
    <w:uiPriority w:val="0"/>
    <w:rPr>
      <w:rFonts w:ascii="Arial" w:hAnsi="Arial" w:eastAsia="Arial" w:cs="Arial"/>
      <w:snapToGrid w:val="0"/>
      <w:color w:val="000000"/>
      <w:sz w:val="18"/>
      <w:szCs w:val="18"/>
    </w:rPr>
  </w:style>
  <w:style w:type="character" w:customStyle="1" w:styleId="20">
    <w:name w:val="页脚 字符"/>
    <w:basedOn w:val="14"/>
    <w:link w:val="9"/>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qFormat/>
    <w:uiPriority w:val="0"/>
    <w:pPr>
      <w:spacing w:afterLines="100" w:line="360" w:lineRule="auto"/>
      <w:ind w:firstLine="480" w:firstLineChars="200"/>
    </w:pPr>
    <w:rPr>
      <w:rFonts w:eastAsia="FangSong_GB2312"/>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2023-11-15T03:24:17Z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