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left="3316" w:leftChars="684" w:hanging="1880" w:hangingChars="500"/>
        <w:rPr>
          <w:rFonts w:hint="eastAsia" w:ascii="黑体" w:hAnsi="黑体" w:eastAsia="黑体" w:cs="黑体"/>
          <w:spacing w:val="8"/>
          <w:sz w:val="36"/>
          <w:szCs w:val="36"/>
          <w:lang w:eastAsia="zh-CN"/>
        </w:rPr>
      </w:pPr>
      <w:r>
        <w:rPr>
          <w:rFonts w:hint="eastAsia" w:ascii="黑体" w:hAnsi="黑体" w:eastAsia="黑体" w:cs="黑体"/>
          <w:spacing w:val="8"/>
          <w:sz w:val="36"/>
          <w:szCs w:val="36"/>
        </w:rPr>
        <w:t>项目名称：</w:t>
      </w:r>
      <w:r>
        <w:rPr>
          <w:rFonts w:hint="default" w:ascii="黑体" w:hAnsi="黑体" w:eastAsia="黑体" w:cs="黑体"/>
          <w:spacing w:val="8"/>
          <w:sz w:val="36"/>
          <w:szCs w:val="36"/>
          <w:lang w:val="en-US" w:eastAsia="zh-CN"/>
        </w:rPr>
        <w:t>机房空调维保服务</w:t>
      </w:r>
    </w:p>
    <w:p>
      <w:pPr>
        <w:spacing w:line="245" w:lineRule="auto"/>
        <w:rPr>
          <w:rFonts w:ascii="黑体" w:hAnsi="黑体" w:eastAsia="黑体" w:cs="黑体"/>
          <w:spacing w:val="7"/>
          <w:sz w:val="36"/>
          <w:szCs w:val="36"/>
        </w:rPr>
      </w:pPr>
    </w:p>
    <w:p>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项目编号：MYCH比选（2023）</w:t>
      </w:r>
      <w:r>
        <w:rPr>
          <w:rFonts w:hint="eastAsia" w:ascii="黑体" w:hAnsi="黑体" w:eastAsia="黑体" w:cs="黑体"/>
          <w:spacing w:val="7"/>
          <w:sz w:val="36"/>
          <w:szCs w:val="36"/>
          <w:lang w:val="en-US" w:eastAsia="zh-CN"/>
        </w:rPr>
        <w:t>134</w:t>
      </w:r>
      <w:r>
        <w:rPr>
          <w:rFonts w:hint="eastAsia" w:ascii="黑体" w:hAnsi="黑体" w:eastAsia="黑体" w:cs="黑体"/>
          <w:spacing w:val="7"/>
          <w:sz w:val="36"/>
          <w:szCs w:val="36"/>
          <w:lang w:eastAsia="zh-CN"/>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023</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11</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numPr>
          <w:ilvl w:val="0"/>
          <w:numId w:val="0"/>
        </w:numPr>
        <w:ind w:left="3036" w:leftChars="684" w:hanging="1600" w:hangingChars="500"/>
        <w:jc w:val="both"/>
        <w:rPr>
          <w:rFonts w:ascii="仿宋" w:hAnsi="仿宋" w:eastAsia="仿宋" w:cs="仿宋"/>
          <w:sz w:val="31"/>
          <w:szCs w:val="31"/>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w:t>
      </w:r>
      <w:r>
        <w:rPr>
          <w:rFonts w:hint="eastAsia" w:ascii="仿宋" w:hAnsi="仿宋" w:eastAsia="仿宋" w:cs="仿宋"/>
          <w:spacing w:val="5"/>
          <w:sz w:val="31"/>
          <w:szCs w:val="31"/>
          <w:u w:val="single"/>
        </w:rPr>
        <w:t xml:space="preserve"> </w:t>
      </w:r>
      <w:r>
        <w:rPr>
          <w:rFonts w:hint="default" w:ascii="仿宋" w:hAnsi="仿宋" w:eastAsia="仿宋" w:cs="仿宋"/>
          <w:spacing w:val="5"/>
          <w:sz w:val="31"/>
          <w:szCs w:val="31"/>
          <w:lang w:val="en-US" w:eastAsia="zh-CN"/>
        </w:rPr>
        <w:t>机房空调维保服务</w:t>
      </w:r>
      <w:r>
        <w:rPr>
          <w:rFonts w:hint="eastAsia" w:ascii="仿宋" w:hAnsi="仿宋" w:eastAsia="仿宋" w:cs="仿宋"/>
          <w:spacing w:val="5"/>
          <w:sz w:val="31"/>
          <w:szCs w:val="31"/>
          <w:u w:val="single"/>
          <w:lang w:eastAsia="zh-CN"/>
        </w:rPr>
        <w:t xml:space="preserve"> </w:t>
      </w:r>
      <w:r>
        <w:rPr>
          <w:rFonts w:hint="eastAsia" w:ascii="仿宋" w:hAnsi="仿宋" w:eastAsia="仿宋" w:cs="仿宋"/>
          <w:spacing w:val="5"/>
          <w:sz w:val="31"/>
          <w:szCs w:val="31"/>
          <w:lang w:eastAsia="zh-CN"/>
        </w:rPr>
        <w:t>进行比选采购，欢迎能</w:t>
      </w:r>
      <w:r>
        <w:rPr>
          <w:rFonts w:hint="eastAsia" w:ascii="仿宋" w:hAnsi="仿宋" w:eastAsia="仿宋" w:cs="仿宋"/>
          <w:spacing w:val="8"/>
          <w:sz w:val="31"/>
          <w:szCs w:val="31"/>
        </w:rPr>
        <w:t>提供本货物和服务的供应商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21"/>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p>
      <w:pPr>
        <w:spacing w:before="218" w:line="357" w:lineRule="auto"/>
        <w:ind w:left="37" w:right="14" w:firstLine="642"/>
        <w:rPr>
          <w:rFonts w:hint="default" w:ascii="仿宋" w:hAnsi="仿宋" w:eastAsia="仿宋" w:cs="仿宋"/>
          <w:spacing w:val="8"/>
          <w:sz w:val="31"/>
          <w:szCs w:val="31"/>
          <w:lang w:val="en-US" w:eastAsia="zh-CN"/>
        </w:rPr>
      </w:pPr>
      <w:r>
        <w:rPr>
          <w:rFonts w:hint="default" w:ascii="仿宋" w:hAnsi="仿宋" w:eastAsia="仿宋" w:cs="仿宋"/>
          <w:spacing w:val="8"/>
          <w:sz w:val="31"/>
          <w:szCs w:val="31"/>
          <w:lang w:val="en-US" w:eastAsia="zh-CN"/>
        </w:rPr>
        <w:t>机房空调维保服务</w:t>
      </w:r>
    </w:p>
    <w:p>
      <w:pPr>
        <w:numPr>
          <w:ilvl w:val="0"/>
          <w:numId w:val="0"/>
        </w:numPr>
        <w:spacing w:before="215" w:line="230" w:lineRule="auto"/>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pStyle w:val="22"/>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1、具有独立承担民事责任的能力。</w:t>
      </w:r>
    </w:p>
    <w:p>
      <w:pPr>
        <w:pStyle w:val="22"/>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2、具有良好的商业信誉和健全的财务会计制度。</w:t>
      </w:r>
    </w:p>
    <w:p>
      <w:pPr>
        <w:pStyle w:val="22"/>
        <w:ind w:left="239" w:leftChars="114" w:firstLine="326" w:firstLine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3、具有履行合同所必须的设备和专业技术能力。</w:t>
      </w:r>
    </w:p>
    <w:p>
      <w:pPr>
        <w:pStyle w:val="22"/>
        <w:ind w:left="239" w:leftChars="114" w:firstLine="326" w:firstLine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4、有依法缴纳税收和社会保障资金的良好记录。</w:t>
      </w:r>
    </w:p>
    <w:p>
      <w:pPr>
        <w:pStyle w:val="22"/>
        <w:ind w:left="239" w:leftChars="114" w:firstLine="326" w:firstLine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5、供应商参加本次政府采购活动前三年内，在经营活动中没有重大违法记录。</w:t>
      </w:r>
    </w:p>
    <w:p>
      <w:pPr>
        <w:pStyle w:val="22"/>
        <w:ind w:left="479" w:leftChars="228" w:firstLine="0" w:firstLineChars="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6、本项目参加政府采购活动的投标人、法定代表人(非法人负责人、自然人本人)在前3年内不得具有行贿犯罪记录。</w:t>
      </w:r>
    </w:p>
    <w:p>
      <w:pPr>
        <w:keepNext w:val="0"/>
        <w:keepLines w:val="0"/>
        <w:pageBreakBefore w:val="0"/>
        <w:widowControl/>
        <w:kinsoku w:val="0"/>
        <w:wordWrap/>
        <w:overflowPunct/>
        <w:topLinePunct w:val="0"/>
        <w:autoSpaceDE w:val="0"/>
        <w:autoSpaceDN w:val="0"/>
        <w:bidi w:val="0"/>
        <w:adjustRightInd w:val="0"/>
        <w:snapToGrid w:val="0"/>
        <w:spacing w:before="218" w:line="240" w:lineRule="atLeast"/>
        <w:ind w:right="14" w:firstLine="652" w:firstLineChars="200"/>
        <w:textAlignment w:val="baseline"/>
        <w:rPr>
          <w:rFonts w:hint="default"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7、法律、行政法规规定的其他条件。</w:t>
      </w:r>
    </w:p>
    <w:p>
      <w:pPr>
        <w:spacing w:before="218" w:line="357" w:lineRule="auto"/>
        <w:ind w:left="37" w:right="14" w:firstLine="642"/>
        <w:rPr>
          <w:rFonts w:hint="eastAsia" w:ascii="仿宋" w:hAnsi="仿宋" w:eastAsia="仿宋" w:cs="仿宋"/>
          <w:spacing w:val="8"/>
          <w:sz w:val="31"/>
          <w:szCs w:val="31"/>
        </w:rPr>
      </w:pPr>
      <w:r>
        <w:rPr>
          <w:rFonts w:hint="eastAsia" w:ascii="仿宋" w:hAnsi="仿宋" w:eastAsia="仿宋" w:cs="仿宋"/>
          <w:spacing w:val="8"/>
          <w:sz w:val="31"/>
          <w:szCs w:val="31"/>
          <w:lang w:eastAsia="zh-CN"/>
        </w:rPr>
        <w:t>（二）</w:t>
      </w: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numPr>
          <w:ilvl w:val="0"/>
          <w:numId w:val="2"/>
        </w:numPr>
        <w:spacing w:line="240" w:lineRule="auto"/>
        <w:ind w:leftChars="0"/>
        <w:jc w:val="left"/>
        <w:rPr>
          <w:rFonts w:hint="eastAsia" w:ascii="宋体" w:hAnsi="宋体" w:eastAsia="宋体" w:cs="Arial Unicode MS"/>
          <w:kern w:val="0"/>
          <w:sz w:val="28"/>
          <w:szCs w:val="28"/>
          <w:lang w:val="en-US" w:eastAsia="zh-CN"/>
        </w:rPr>
      </w:pPr>
      <w:r>
        <w:rPr>
          <w:rFonts w:hint="eastAsia" w:ascii="宋体" w:hAnsi="宋体" w:eastAsia="宋体" w:cs="Arial Unicode MS"/>
          <w:kern w:val="0"/>
          <w:sz w:val="28"/>
          <w:szCs w:val="28"/>
          <w:lang w:val="en-US" w:eastAsia="zh-CN"/>
        </w:rPr>
        <w:t>维保服务对象</w:t>
      </w:r>
    </w:p>
    <w:tbl>
      <w:tblPr>
        <w:tblStyle w:val="12"/>
        <w:tblpPr w:leftFromText="180" w:rightFromText="180" w:vertAnchor="text" w:horzAnchor="page" w:tblpX="2071" w:tblpY="17"/>
        <w:tblOverlap w:val="never"/>
        <w:tblW w:w="80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780"/>
        <w:gridCol w:w="3884"/>
        <w:gridCol w:w="817"/>
        <w:gridCol w:w="8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94" w:type="dxa"/>
            <w:tcBorders>
              <w:bottom w:val="single" w:color="auto" w:sz="4" w:space="0"/>
            </w:tcBorders>
            <w:noWrap w:val="0"/>
            <w:vAlign w:val="center"/>
          </w:tcPr>
          <w:p>
            <w:pPr>
              <w:spacing w:line="360" w:lineRule="auto"/>
              <w:jc w:val="center"/>
              <w:rPr>
                <w:rFonts w:hint="eastAsia" w:ascii="方正仿宋_GB2312" w:hAnsi="方正仿宋_GB2312" w:eastAsia="方正仿宋_GB2312" w:cs="方正仿宋_GB2312"/>
                <w:bCs/>
                <w:sz w:val="24"/>
                <w:szCs w:val="24"/>
              </w:rPr>
            </w:pPr>
            <w:r>
              <w:rPr>
                <w:rFonts w:hint="eastAsia" w:ascii="方正仿宋_GB2312" w:hAnsi="方正仿宋_GB2312" w:eastAsia="方正仿宋_GB2312" w:cs="方正仿宋_GB2312"/>
                <w:bCs/>
                <w:sz w:val="24"/>
                <w:szCs w:val="24"/>
              </w:rPr>
              <w:t>序号</w:t>
            </w:r>
          </w:p>
        </w:tc>
        <w:tc>
          <w:tcPr>
            <w:tcW w:w="1780" w:type="dxa"/>
            <w:tcBorders>
              <w:bottom w:val="single" w:color="auto" w:sz="4" w:space="0"/>
            </w:tcBorders>
            <w:noWrap w:val="0"/>
            <w:vAlign w:val="center"/>
          </w:tcPr>
          <w:p>
            <w:pPr>
              <w:spacing w:line="360" w:lineRule="auto"/>
              <w:jc w:val="center"/>
              <w:rPr>
                <w:rFonts w:hint="eastAsia" w:ascii="方正仿宋_GB2312" w:hAnsi="方正仿宋_GB2312" w:eastAsia="方正仿宋_GB2312" w:cs="方正仿宋_GB2312"/>
                <w:bCs/>
                <w:sz w:val="24"/>
                <w:szCs w:val="24"/>
                <w:lang w:val="en-US" w:eastAsia="zh-CN"/>
              </w:rPr>
            </w:pPr>
            <w:r>
              <w:rPr>
                <w:rFonts w:hint="eastAsia" w:ascii="方正仿宋_GB2312" w:hAnsi="方正仿宋_GB2312" w:eastAsia="方正仿宋_GB2312" w:cs="方正仿宋_GB2312"/>
                <w:bCs/>
                <w:sz w:val="24"/>
                <w:szCs w:val="24"/>
                <w:lang w:val="en-US" w:eastAsia="zh-CN"/>
              </w:rPr>
              <w:t>维保服务设备</w:t>
            </w:r>
          </w:p>
        </w:tc>
        <w:tc>
          <w:tcPr>
            <w:tcW w:w="3884" w:type="dxa"/>
            <w:tcBorders>
              <w:bottom w:val="single" w:color="auto" w:sz="4" w:space="0"/>
            </w:tcBorders>
            <w:noWrap w:val="0"/>
            <w:vAlign w:val="center"/>
          </w:tcPr>
          <w:p>
            <w:pPr>
              <w:spacing w:line="360" w:lineRule="auto"/>
              <w:jc w:val="center"/>
              <w:rPr>
                <w:rFonts w:hint="eastAsia" w:ascii="方正仿宋_GB2312" w:hAnsi="方正仿宋_GB2312" w:eastAsia="方正仿宋_GB2312" w:cs="方正仿宋_GB2312"/>
                <w:bCs/>
                <w:sz w:val="24"/>
                <w:szCs w:val="24"/>
                <w:lang w:val="en-US" w:eastAsia="zh-CN"/>
              </w:rPr>
            </w:pPr>
            <w:r>
              <w:rPr>
                <w:rFonts w:hint="eastAsia" w:ascii="方正仿宋_GB2312" w:hAnsi="方正仿宋_GB2312" w:eastAsia="方正仿宋_GB2312" w:cs="方正仿宋_GB2312"/>
                <w:bCs/>
                <w:sz w:val="24"/>
                <w:szCs w:val="24"/>
                <w:lang w:val="en-US" w:eastAsia="zh-CN"/>
              </w:rPr>
              <w:t>设备品牌及型号</w:t>
            </w:r>
          </w:p>
        </w:tc>
        <w:tc>
          <w:tcPr>
            <w:tcW w:w="817" w:type="dxa"/>
            <w:tcBorders>
              <w:bottom w:val="single" w:color="auto" w:sz="4" w:space="0"/>
            </w:tcBorders>
            <w:noWrap w:val="0"/>
            <w:vAlign w:val="center"/>
          </w:tcPr>
          <w:p>
            <w:pPr>
              <w:spacing w:line="360" w:lineRule="auto"/>
              <w:jc w:val="center"/>
              <w:rPr>
                <w:rFonts w:hint="eastAsia" w:ascii="方正仿宋_GB2312" w:hAnsi="方正仿宋_GB2312" w:eastAsia="方正仿宋_GB2312" w:cs="方正仿宋_GB2312"/>
                <w:bCs/>
                <w:sz w:val="24"/>
                <w:szCs w:val="24"/>
              </w:rPr>
            </w:pPr>
            <w:r>
              <w:rPr>
                <w:rFonts w:hint="eastAsia" w:ascii="方正仿宋_GB2312" w:hAnsi="方正仿宋_GB2312" w:eastAsia="方正仿宋_GB2312" w:cs="方正仿宋_GB2312"/>
                <w:bCs/>
                <w:sz w:val="24"/>
                <w:szCs w:val="24"/>
              </w:rPr>
              <w:t>单位</w:t>
            </w:r>
          </w:p>
        </w:tc>
        <w:tc>
          <w:tcPr>
            <w:tcW w:w="803" w:type="dxa"/>
            <w:tcBorders>
              <w:bottom w:val="single" w:color="auto" w:sz="4" w:space="0"/>
            </w:tcBorders>
            <w:noWrap w:val="0"/>
            <w:vAlign w:val="center"/>
          </w:tcPr>
          <w:p>
            <w:pPr>
              <w:spacing w:line="360" w:lineRule="auto"/>
              <w:jc w:val="center"/>
              <w:rPr>
                <w:rFonts w:hint="eastAsia" w:ascii="方正仿宋_GB2312" w:hAnsi="方正仿宋_GB2312" w:eastAsia="方正仿宋_GB2312" w:cs="方正仿宋_GB2312"/>
                <w:bCs/>
                <w:sz w:val="24"/>
                <w:szCs w:val="24"/>
              </w:rPr>
            </w:pPr>
            <w:r>
              <w:rPr>
                <w:rFonts w:hint="eastAsia" w:ascii="方正仿宋_GB2312" w:hAnsi="方正仿宋_GB2312" w:eastAsia="方正仿宋_GB2312" w:cs="方正仿宋_GB2312"/>
                <w:bCs/>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94" w:type="dxa"/>
            <w:noWrap w:val="0"/>
            <w:vAlign w:val="center"/>
          </w:tcPr>
          <w:p>
            <w:pPr>
              <w:spacing w:line="360" w:lineRule="auto"/>
              <w:jc w:val="center"/>
              <w:rPr>
                <w:rFonts w:hint="eastAsia" w:ascii="方正仿宋_GB2312" w:hAnsi="方正仿宋_GB2312" w:eastAsia="方正仿宋_GB2312" w:cs="方正仿宋_GB2312"/>
                <w:sz w:val="24"/>
                <w:szCs w:val="24"/>
                <w:lang w:eastAsia="zh-CN"/>
              </w:rPr>
            </w:pPr>
            <w:r>
              <w:rPr>
                <w:rFonts w:hint="eastAsia" w:ascii="方正仿宋_GB2312" w:hAnsi="方正仿宋_GB2312" w:eastAsia="方正仿宋_GB2312" w:cs="方正仿宋_GB2312"/>
                <w:sz w:val="24"/>
                <w:szCs w:val="24"/>
                <w:lang w:val="en-US" w:eastAsia="zh-CN"/>
              </w:rPr>
              <w:t>1</w:t>
            </w:r>
          </w:p>
        </w:tc>
        <w:tc>
          <w:tcPr>
            <w:tcW w:w="1780" w:type="dxa"/>
            <w:noWrap w:val="0"/>
            <w:vAlign w:val="center"/>
          </w:tcPr>
          <w:p>
            <w:pPr>
              <w:spacing w:line="360" w:lineRule="auto"/>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精密空调</w:t>
            </w:r>
          </w:p>
        </w:tc>
        <w:tc>
          <w:tcPr>
            <w:tcW w:w="3884" w:type="dxa"/>
            <w:noWrap w:val="0"/>
            <w:vAlign w:val="center"/>
          </w:tcPr>
          <w:p>
            <w:pPr>
              <w:spacing w:line="360" w:lineRule="auto"/>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维谛（原艾默生） P2040FAPMS1R</w:t>
            </w:r>
          </w:p>
        </w:tc>
        <w:tc>
          <w:tcPr>
            <w:tcW w:w="817" w:type="dxa"/>
            <w:noWrap w:val="0"/>
            <w:vAlign w:val="center"/>
          </w:tcPr>
          <w:p>
            <w:pPr>
              <w:spacing w:line="360" w:lineRule="auto"/>
              <w:jc w:val="center"/>
              <w:rPr>
                <w:rFonts w:hint="eastAsia" w:ascii="方正仿宋_GB2312" w:hAnsi="方正仿宋_GB2312" w:eastAsia="方正仿宋_GB2312" w:cs="方正仿宋_GB2312"/>
                <w:bCs/>
                <w:sz w:val="24"/>
                <w:szCs w:val="24"/>
              </w:rPr>
            </w:pPr>
            <w:r>
              <w:rPr>
                <w:rFonts w:hint="eastAsia" w:ascii="方正仿宋_GB2312" w:hAnsi="方正仿宋_GB2312" w:eastAsia="方正仿宋_GB2312" w:cs="方正仿宋_GB2312"/>
                <w:bCs/>
                <w:sz w:val="24"/>
                <w:szCs w:val="24"/>
              </w:rPr>
              <w:t>台</w:t>
            </w:r>
          </w:p>
        </w:tc>
        <w:tc>
          <w:tcPr>
            <w:tcW w:w="803" w:type="dxa"/>
            <w:noWrap w:val="0"/>
            <w:vAlign w:val="center"/>
          </w:tcPr>
          <w:p>
            <w:pPr>
              <w:spacing w:line="360" w:lineRule="auto"/>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794" w:type="dxa"/>
            <w:noWrap w:val="0"/>
            <w:vAlign w:val="center"/>
          </w:tcPr>
          <w:p>
            <w:pPr>
              <w:spacing w:line="360" w:lineRule="auto"/>
              <w:jc w:val="center"/>
              <w:rPr>
                <w:rFonts w:hint="eastAsia" w:ascii="方正仿宋_GB2312" w:hAnsi="方正仿宋_GB2312" w:eastAsia="方正仿宋_GB2312" w:cs="方正仿宋_GB2312"/>
                <w:sz w:val="24"/>
                <w:szCs w:val="24"/>
                <w:lang w:eastAsia="zh-CN"/>
              </w:rPr>
            </w:pPr>
            <w:r>
              <w:rPr>
                <w:rFonts w:hint="eastAsia" w:ascii="方正仿宋_GB2312" w:hAnsi="方正仿宋_GB2312" w:eastAsia="方正仿宋_GB2312" w:cs="方正仿宋_GB2312"/>
                <w:sz w:val="24"/>
                <w:szCs w:val="24"/>
                <w:lang w:val="en-US" w:eastAsia="zh-CN"/>
              </w:rPr>
              <w:t>2</w:t>
            </w:r>
          </w:p>
        </w:tc>
        <w:tc>
          <w:tcPr>
            <w:tcW w:w="1780" w:type="dxa"/>
            <w:noWrap w:val="0"/>
            <w:vAlign w:val="center"/>
          </w:tcPr>
          <w:p>
            <w:pPr>
              <w:spacing w:line="360" w:lineRule="auto"/>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普通空调</w:t>
            </w:r>
          </w:p>
        </w:tc>
        <w:tc>
          <w:tcPr>
            <w:tcW w:w="3884" w:type="dxa"/>
            <w:noWrap w:val="0"/>
            <w:vAlign w:val="center"/>
          </w:tcPr>
          <w:p>
            <w:pPr>
              <w:spacing w:line="360" w:lineRule="auto"/>
              <w:jc w:val="center"/>
              <w:rPr>
                <w:rFonts w:hint="eastAsia" w:ascii="方正仿宋_GB2312" w:hAnsi="方正仿宋_GB2312" w:eastAsia="方正仿宋_GB2312" w:cs="方正仿宋_GB2312"/>
                <w:sz w:val="24"/>
                <w:szCs w:val="24"/>
              </w:rPr>
            </w:pPr>
            <w:r>
              <w:rPr>
                <w:rFonts w:hint="eastAsia" w:ascii="方正仿宋_GB2312" w:hAnsi="方正仿宋_GB2312" w:eastAsia="方正仿宋_GB2312" w:cs="方正仿宋_GB2312"/>
                <w:sz w:val="24"/>
                <w:szCs w:val="24"/>
              </w:rPr>
              <w:t>格力</w:t>
            </w:r>
            <w:r>
              <w:rPr>
                <w:rFonts w:hint="eastAsia" w:ascii="方正仿宋_GB2312" w:hAnsi="方正仿宋_GB2312" w:eastAsia="方正仿宋_GB2312" w:cs="方正仿宋_GB2312"/>
                <w:color w:val="000000"/>
                <w:kern w:val="0"/>
                <w:sz w:val="24"/>
                <w:szCs w:val="24"/>
                <w:shd w:val="clear" w:color="auto" w:fill="FFFFFF"/>
              </w:rPr>
              <w:t xml:space="preserve"> </w:t>
            </w:r>
            <w:r>
              <w:rPr>
                <w:rFonts w:hint="eastAsia" w:ascii="方正仿宋_GB2312" w:hAnsi="方正仿宋_GB2312" w:eastAsia="方正仿宋_GB2312" w:cs="方正仿宋_GB2312"/>
                <w:sz w:val="24"/>
                <w:szCs w:val="24"/>
              </w:rPr>
              <w:t>JKFDBQS</w:t>
            </w:r>
          </w:p>
        </w:tc>
        <w:tc>
          <w:tcPr>
            <w:tcW w:w="817" w:type="dxa"/>
            <w:noWrap w:val="0"/>
            <w:vAlign w:val="center"/>
          </w:tcPr>
          <w:p>
            <w:pPr>
              <w:spacing w:line="360" w:lineRule="auto"/>
              <w:jc w:val="center"/>
              <w:rPr>
                <w:rFonts w:hint="eastAsia" w:ascii="方正仿宋_GB2312" w:hAnsi="方正仿宋_GB2312" w:eastAsia="方正仿宋_GB2312" w:cs="方正仿宋_GB2312"/>
                <w:bCs/>
                <w:sz w:val="24"/>
                <w:szCs w:val="24"/>
              </w:rPr>
            </w:pPr>
            <w:r>
              <w:rPr>
                <w:rFonts w:hint="eastAsia" w:ascii="方正仿宋_GB2312" w:hAnsi="方正仿宋_GB2312" w:eastAsia="方正仿宋_GB2312" w:cs="方正仿宋_GB2312"/>
                <w:bCs/>
                <w:sz w:val="24"/>
                <w:szCs w:val="24"/>
              </w:rPr>
              <w:t>台</w:t>
            </w:r>
          </w:p>
        </w:tc>
        <w:tc>
          <w:tcPr>
            <w:tcW w:w="803" w:type="dxa"/>
            <w:noWrap w:val="0"/>
            <w:vAlign w:val="center"/>
          </w:tcPr>
          <w:p>
            <w:pPr>
              <w:spacing w:line="360" w:lineRule="auto"/>
              <w:jc w:val="center"/>
              <w:rPr>
                <w:rFonts w:hint="eastAsia" w:ascii="方正仿宋_GB2312" w:hAnsi="方正仿宋_GB2312" w:eastAsia="方正仿宋_GB2312" w:cs="方正仿宋_GB2312"/>
                <w:bCs/>
                <w:sz w:val="24"/>
                <w:szCs w:val="24"/>
              </w:rPr>
            </w:pPr>
            <w:r>
              <w:rPr>
                <w:rFonts w:hint="eastAsia" w:ascii="方正仿宋_GB2312" w:hAnsi="方正仿宋_GB2312" w:eastAsia="方正仿宋_GB2312" w:cs="方正仿宋_GB2312"/>
                <w:bCs/>
                <w:sz w:val="24"/>
                <w:szCs w:val="24"/>
              </w:rPr>
              <w:t>3</w:t>
            </w:r>
          </w:p>
        </w:tc>
      </w:tr>
    </w:tbl>
    <w:p>
      <w:pPr>
        <w:spacing w:line="360" w:lineRule="auto"/>
        <w:jc w:val="left"/>
        <w:rPr>
          <w:rFonts w:hint="eastAsia" w:ascii="方正仿宋_GB2312" w:hAnsi="方正仿宋_GB2312" w:eastAsia="方正仿宋_GB2312" w:cs="方正仿宋_GB2312"/>
          <w:kern w:val="0"/>
          <w:sz w:val="44"/>
          <w:szCs w:val="44"/>
          <w:lang w:val="en-US" w:eastAsia="zh-CN"/>
        </w:rPr>
      </w:pPr>
      <w:r>
        <w:rPr>
          <w:rFonts w:hint="eastAsia" w:ascii="方正仿宋_GB2312" w:hAnsi="方正仿宋_GB2312" w:eastAsia="方正仿宋_GB2312" w:cs="方正仿宋_GB2312"/>
          <w:bCs/>
          <w:sz w:val="24"/>
          <w:szCs w:val="24"/>
          <w:lang w:val="en-US" w:eastAsia="zh-CN"/>
        </w:rPr>
        <w:t>本项目维保的硬件情况如下：</w:t>
      </w:r>
    </w:p>
    <w:p>
      <w:pPr>
        <w:numPr>
          <w:ilvl w:val="0"/>
          <w:numId w:val="2"/>
        </w:numPr>
        <w:spacing w:line="240" w:lineRule="auto"/>
        <w:ind w:leftChars="0"/>
        <w:jc w:val="left"/>
        <w:rPr>
          <w:rFonts w:hint="default" w:ascii="宋体" w:hAnsi="宋体" w:eastAsia="宋体" w:cs="Arial Unicode MS"/>
          <w:kern w:val="0"/>
          <w:sz w:val="28"/>
          <w:szCs w:val="28"/>
          <w:lang w:val="en-US" w:eastAsia="zh-CN"/>
        </w:rPr>
      </w:pPr>
      <w:r>
        <w:rPr>
          <w:rFonts w:hint="eastAsia" w:ascii="宋体" w:hAnsi="宋体" w:eastAsia="宋体" w:cs="Arial Unicode MS"/>
          <w:kern w:val="0"/>
          <w:sz w:val="28"/>
          <w:szCs w:val="28"/>
          <w:lang w:val="en-US" w:eastAsia="zh-CN"/>
        </w:rPr>
        <w:t>维保服务要求</w:t>
      </w:r>
    </w:p>
    <w:p>
      <w:pPr>
        <w:numPr>
          <w:ilvl w:val="0"/>
          <w:numId w:val="3"/>
        </w:numPr>
        <w:spacing w:line="240" w:lineRule="auto"/>
        <w:jc w:val="left"/>
        <w:rPr>
          <w:rFonts w:hint="eastAsia" w:ascii="宋体" w:hAnsi="宋体" w:eastAsia="宋体" w:cs="Arial Unicode MS"/>
          <w:kern w:val="0"/>
          <w:sz w:val="28"/>
          <w:szCs w:val="28"/>
          <w:lang w:val="en-US" w:eastAsia="zh-CN"/>
        </w:rPr>
      </w:pPr>
      <w:r>
        <w:rPr>
          <w:rFonts w:hint="eastAsia" w:ascii="宋体" w:hAnsi="宋体" w:eastAsia="宋体" w:cs="Arial Unicode MS"/>
          <w:kern w:val="0"/>
          <w:sz w:val="28"/>
          <w:szCs w:val="28"/>
          <w:lang w:val="en-US" w:eastAsia="zh-CN"/>
        </w:rPr>
        <w:t>维保服务主要要求</w:t>
      </w:r>
    </w:p>
    <w:p>
      <w:pPr>
        <w:numPr>
          <w:ilvl w:val="0"/>
          <w:numId w:val="4"/>
        </w:numPr>
        <w:spacing w:line="240" w:lineRule="auto"/>
        <w:ind w:left="425" w:leftChars="0" w:hanging="425" w:firstLineChars="0"/>
        <w:jc w:val="left"/>
        <w:rPr>
          <w:rFonts w:hint="eastAsia" w:ascii="方正仿宋_GB2312" w:hAnsi="方正仿宋_GB2312" w:eastAsia="方正仿宋_GB2312" w:cs="方正仿宋_GB2312"/>
          <w:color w:val="auto"/>
          <w:kern w:val="0"/>
          <w:sz w:val="24"/>
          <w:szCs w:val="24"/>
          <w:lang w:bidi="en-US"/>
        </w:rPr>
      </w:pPr>
      <w:r>
        <w:rPr>
          <w:rFonts w:hint="eastAsia" w:ascii="方正仿宋_GB2312" w:hAnsi="方正仿宋_GB2312" w:eastAsia="方正仿宋_GB2312" w:cs="方正仿宋_GB2312"/>
          <w:color w:val="auto"/>
          <w:sz w:val="24"/>
          <w:szCs w:val="24"/>
          <w:lang w:val="en-US" w:eastAsia="zh-CN"/>
        </w:rPr>
        <w:t>定期维护主要包含以下</w:t>
      </w:r>
      <w:r>
        <w:rPr>
          <w:rFonts w:hint="eastAsia" w:ascii="方正仿宋_GB2312" w:hAnsi="方正仿宋_GB2312" w:eastAsia="方正仿宋_GB2312" w:cs="方正仿宋_GB2312"/>
          <w:color w:val="auto"/>
          <w:kern w:val="0"/>
          <w:sz w:val="24"/>
          <w:szCs w:val="24"/>
          <w:lang w:val="en-US" w:eastAsia="zh-CN" w:bidi="en-US"/>
        </w:rPr>
        <w:t>内容</w:t>
      </w:r>
      <w:r>
        <w:rPr>
          <w:rFonts w:hint="eastAsia" w:ascii="方正仿宋_GB2312" w:hAnsi="方正仿宋_GB2312" w:eastAsia="方正仿宋_GB2312" w:cs="方正仿宋_GB2312"/>
          <w:color w:val="auto"/>
          <w:kern w:val="0"/>
          <w:sz w:val="24"/>
          <w:szCs w:val="24"/>
          <w:lang w:bidi="en-US"/>
        </w:rPr>
        <w:t>：</w:t>
      </w:r>
    </w:p>
    <w:p>
      <w:pPr>
        <w:spacing w:line="240" w:lineRule="auto"/>
        <w:ind w:firstLine="480" w:firstLineChars="200"/>
        <w:rPr>
          <w:rFonts w:hint="eastAsia" w:ascii="方正仿宋_GB2312" w:hAnsi="方正仿宋_GB2312" w:eastAsia="方正仿宋_GB2312" w:cs="方正仿宋_GB2312"/>
          <w:color w:val="auto"/>
          <w:kern w:val="0"/>
          <w:sz w:val="24"/>
          <w:szCs w:val="24"/>
          <w:lang w:bidi="en-US"/>
        </w:rPr>
      </w:pPr>
      <w:r>
        <w:rPr>
          <w:rFonts w:hint="eastAsia" w:ascii="方正仿宋_GB2312" w:hAnsi="方正仿宋_GB2312" w:eastAsia="方正仿宋_GB2312" w:cs="方正仿宋_GB2312"/>
          <w:color w:val="auto"/>
          <w:kern w:val="0"/>
          <w:sz w:val="24"/>
          <w:szCs w:val="24"/>
          <w:lang w:bidi="en-US"/>
        </w:rPr>
        <w:t>现场</w:t>
      </w:r>
      <w:r>
        <w:rPr>
          <w:rFonts w:hint="eastAsia" w:ascii="方正仿宋_GB2312" w:hAnsi="方正仿宋_GB2312" w:eastAsia="方正仿宋_GB2312" w:cs="方正仿宋_GB2312"/>
          <w:color w:val="auto"/>
          <w:kern w:val="0"/>
          <w:sz w:val="24"/>
          <w:szCs w:val="24"/>
          <w:lang w:val="en-US" w:eastAsia="zh-CN" w:bidi="en-US"/>
        </w:rPr>
        <w:t>抽</w:t>
      </w:r>
      <w:r>
        <w:rPr>
          <w:rFonts w:hint="eastAsia" w:ascii="方正仿宋_GB2312" w:hAnsi="方正仿宋_GB2312" w:eastAsia="方正仿宋_GB2312" w:cs="方正仿宋_GB2312"/>
          <w:color w:val="auto"/>
          <w:kern w:val="0"/>
          <w:sz w:val="24"/>
          <w:szCs w:val="24"/>
          <w:lang w:bidi="en-US"/>
        </w:rPr>
        <w:t>检：</w:t>
      </w:r>
      <w:r>
        <w:rPr>
          <w:rFonts w:hint="eastAsia" w:ascii="方正仿宋_GB2312" w:hAnsi="方正仿宋_GB2312" w:eastAsia="方正仿宋_GB2312" w:cs="方正仿宋_GB2312"/>
          <w:color w:val="auto"/>
          <w:kern w:val="0"/>
          <w:sz w:val="24"/>
          <w:szCs w:val="24"/>
          <w:lang w:val="en-US" w:eastAsia="zh-CN" w:bidi="en-US"/>
        </w:rPr>
        <w:t>根据</w:t>
      </w:r>
      <w:r>
        <w:rPr>
          <w:rFonts w:hint="eastAsia" w:ascii="方正仿宋_GB2312" w:hAnsi="方正仿宋_GB2312" w:eastAsia="方正仿宋_GB2312" w:cs="方正仿宋_GB2312"/>
          <w:color w:val="auto"/>
          <w:kern w:val="0"/>
          <w:sz w:val="24"/>
          <w:szCs w:val="24"/>
          <w:lang w:bidi="en-US"/>
        </w:rPr>
        <w:t>设备所处具体地理位置进行</w:t>
      </w:r>
      <w:r>
        <w:rPr>
          <w:rFonts w:hint="eastAsia" w:ascii="方正仿宋_GB2312" w:hAnsi="方正仿宋_GB2312" w:eastAsia="方正仿宋_GB2312" w:cs="方正仿宋_GB2312"/>
          <w:color w:val="auto"/>
          <w:kern w:val="0"/>
          <w:sz w:val="24"/>
          <w:szCs w:val="24"/>
          <w:lang w:val="en-US" w:eastAsia="zh-CN" w:bidi="en-US"/>
        </w:rPr>
        <w:t>抽</w:t>
      </w:r>
      <w:r>
        <w:rPr>
          <w:rFonts w:hint="eastAsia" w:ascii="方正仿宋_GB2312" w:hAnsi="方正仿宋_GB2312" w:eastAsia="方正仿宋_GB2312" w:cs="方正仿宋_GB2312"/>
          <w:color w:val="auto"/>
          <w:kern w:val="0"/>
          <w:sz w:val="24"/>
          <w:szCs w:val="24"/>
          <w:lang w:bidi="en-US"/>
        </w:rPr>
        <w:t>检，记录设备运行状况，对出现或可能出现的故障进行现场处理。</w:t>
      </w:r>
    </w:p>
    <w:p>
      <w:pPr>
        <w:spacing w:line="240" w:lineRule="auto"/>
        <w:ind w:firstLine="480" w:firstLineChars="200"/>
        <w:rPr>
          <w:rFonts w:hint="eastAsia" w:ascii="方正仿宋_GB2312" w:hAnsi="方正仿宋_GB2312" w:eastAsia="方正仿宋_GB2312" w:cs="方正仿宋_GB2312"/>
          <w:color w:val="auto"/>
          <w:kern w:val="0"/>
          <w:sz w:val="24"/>
          <w:szCs w:val="24"/>
          <w:lang w:bidi="en-US"/>
        </w:rPr>
      </w:pPr>
      <w:r>
        <w:rPr>
          <w:rFonts w:hint="eastAsia" w:ascii="方正仿宋_GB2312" w:hAnsi="方正仿宋_GB2312" w:eastAsia="方正仿宋_GB2312" w:cs="方正仿宋_GB2312"/>
          <w:color w:val="auto"/>
          <w:kern w:val="0"/>
          <w:sz w:val="24"/>
          <w:szCs w:val="24"/>
          <w:lang w:bidi="en-US"/>
        </w:rPr>
        <w:t>电话</w:t>
      </w:r>
      <w:r>
        <w:rPr>
          <w:rFonts w:hint="eastAsia" w:ascii="方正仿宋_GB2312" w:hAnsi="方正仿宋_GB2312" w:eastAsia="方正仿宋_GB2312" w:cs="方正仿宋_GB2312"/>
          <w:color w:val="auto"/>
          <w:kern w:val="0"/>
          <w:sz w:val="24"/>
          <w:szCs w:val="24"/>
          <w:lang w:val="en-US" w:eastAsia="zh-CN" w:bidi="en-US"/>
        </w:rPr>
        <w:t>抽</w:t>
      </w:r>
      <w:r>
        <w:rPr>
          <w:rFonts w:hint="eastAsia" w:ascii="方正仿宋_GB2312" w:hAnsi="方正仿宋_GB2312" w:eastAsia="方正仿宋_GB2312" w:cs="方正仿宋_GB2312"/>
          <w:color w:val="auto"/>
          <w:kern w:val="0"/>
          <w:sz w:val="24"/>
          <w:szCs w:val="24"/>
          <w:lang w:bidi="en-US"/>
        </w:rPr>
        <w:t>检：对</w:t>
      </w:r>
      <w:r>
        <w:rPr>
          <w:rFonts w:hint="eastAsia" w:ascii="方正仿宋_GB2312" w:hAnsi="方正仿宋_GB2312" w:eastAsia="方正仿宋_GB2312" w:cs="方正仿宋_GB2312"/>
          <w:color w:val="auto"/>
          <w:kern w:val="0"/>
          <w:sz w:val="24"/>
          <w:szCs w:val="24"/>
          <w:lang w:eastAsia="zh-CN" w:bidi="en-US"/>
        </w:rPr>
        <w:t>设备</w:t>
      </w:r>
      <w:r>
        <w:rPr>
          <w:rFonts w:hint="eastAsia" w:ascii="方正仿宋_GB2312" w:hAnsi="方正仿宋_GB2312" w:eastAsia="方正仿宋_GB2312" w:cs="方正仿宋_GB2312"/>
          <w:color w:val="auto"/>
          <w:kern w:val="0"/>
          <w:sz w:val="24"/>
          <w:szCs w:val="24"/>
          <w:lang w:bidi="en-US"/>
        </w:rPr>
        <w:t>使用人员或管理机构进行电话询问检查，解答或帮助解决日常简单故障并做好相关记录。</w:t>
      </w:r>
    </w:p>
    <w:p>
      <w:pPr>
        <w:spacing w:line="240" w:lineRule="auto"/>
        <w:ind w:firstLine="480" w:firstLineChars="200"/>
        <w:rPr>
          <w:rFonts w:hint="eastAsia" w:ascii="方正仿宋_GB2312" w:hAnsi="方正仿宋_GB2312" w:eastAsia="方正仿宋_GB2312" w:cs="方正仿宋_GB2312"/>
          <w:color w:val="auto"/>
          <w:kern w:val="0"/>
          <w:sz w:val="24"/>
          <w:szCs w:val="24"/>
          <w:lang w:bidi="en-US"/>
        </w:rPr>
      </w:pPr>
      <w:r>
        <w:rPr>
          <w:rFonts w:hint="eastAsia" w:ascii="方正仿宋_GB2312" w:hAnsi="方正仿宋_GB2312" w:eastAsia="方正仿宋_GB2312" w:cs="方正仿宋_GB2312"/>
          <w:color w:val="auto"/>
          <w:kern w:val="0"/>
          <w:sz w:val="24"/>
          <w:szCs w:val="24"/>
          <w:lang w:bidi="en-US"/>
        </w:rPr>
        <w:t>巡检周期：</w:t>
      </w:r>
      <w:r>
        <w:rPr>
          <w:rFonts w:hint="eastAsia" w:ascii="方正仿宋_GB2312" w:hAnsi="方正仿宋_GB2312" w:eastAsia="方正仿宋_GB2312" w:cs="方正仿宋_GB2312"/>
          <w:color w:val="auto"/>
          <w:kern w:val="0"/>
          <w:sz w:val="24"/>
          <w:szCs w:val="24"/>
          <w:lang w:val="en-US" w:eastAsia="zh-CN" w:bidi="en-US"/>
        </w:rPr>
        <w:t>所维护的</w:t>
      </w:r>
      <w:r>
        <w:rPr>
          <w:rFonts w:hint="eastAsia" w:ascii="方正仿宋_GB2312" w:hAnsi="方正仿宋_GB2312" w:eastAsia="方正仿宋_GB2312" w:cs="方正仿宋_GB2312"/>
          <w:color w:val="auto"/>
          <w:kern w:val="0"/>
          <w:sz w:val="24"/>
          <w:szCs w:val="24"/>
          <w:lang w:bidi="en-US"/>
        </w:rPr>
        <w:t>设备</w:t>
      </w:r>
      <w:r>
        <w:rPr>
          <w:rFonts w:hint="eastAsia" w:ascii="方正仿宋_GB2312" w:hAnsi="方正仿宋_GB2312" w:eastAsia="方正仿宋_GB2312" w:cs="方正仿宋_GB2312"/>
          <w:color w:val="auto"/>
          <w:kern w:val="0"/>
          <w:sz w:val="24"/>
          <w:szCs w:val="24"/>
          <w:lang w:eastAsia="zh-CN" w:bidi="en-US"/>
        </w:rPr>
        <w:t>除日常报修外，</w:t>
      </w:r>
      <w:r>
        <w:rPr>
          <w:rFonts w:hint="eastAsia" w:ascii="方正仿宋_GB2312" w:hAnsi="方正仿宋_GB2312" w:eastAsia="方正仿宋_GB2312" w:cs="方正仿宋_GB2312"/>
          <w:color w:val="auto"/>
          <w:kern w:val="0"/>
          <w:sz w:val="24"/>
          <w:szCs w:val="24"/>
          <w:lang w:bidi="en-US"/>
        </w:rPr>
        <w:t>每月</w:t>
      </w:r>
      <w:r>
        <w:rPr>
          <w:rFonts w:hint="eastAsia" w:ascii="方正仿宋_GB2312" w:hAnsi="方正仿宋_GB2312" w:eastAsia="方正仿宋_GB2312" w:cs="方正仿宋_GB2312"/>
          <w:color w:val="auto"/>
          <w:kern w:val="0"/>
          <w:sz w:val="24"/>
          <w:szCs w:val="24"/>
          <w:lang w:eastAsia="zh-CN" w:bidi="en-US"/>
        </w:rPr>
        <w:t>定期</w:t>
      </w:r>
      <w:r>
        <w:rPr>
          <w:rFonts w:hint="eastAsia" w:ascii="方正仿宋_GB2312" w:hAnsi="方正仿宋_GB2312" w:eastAsia="方正仿宋_GB2312" w:cs="方正仿宋_GB2312"/>
          <w:color w:val="auto"/>
          <w:kern w:val="0"/>
          <w:sz w:val="24"/>
          <w:szCs w:val="24"/>
          <w:lang w:val="en-US" w:eastAsia="zh-CN" w:bidi="en-US"/>
        </w:rPr>
        <w:t>抽检</w:t>
      </w:r>
      <w:r>
        <w:rPr>
          <w:rFonts w:hint="eastAsia" w:ascii="方正仿宋_GB2312" w:hAnsi="方正仿宋_GB2312" w:eastAsia="方正仿宋_GB2312" w:cs="方正仿宋_GB2312"/>
          <w:color w:val="auto"/>
          <w:kern w:val="0"/>
          <w:sz w:val="24"/>
          <w:szCs w:val="24"/>
          <w:lang w:bidi="en-US"/>
        </w:rPr>
        <w:t>一次。</w:t>
      </w:r>
    </w:p>
    <w:p>
      <w:pPr>
        <w:spacing w:line="240" w:lineRule="auto"/>
        <w:ind w:firstLine="480" w:firstLineChars="200"/>
        <w:rPr>
          <w:rFonts w:hint="eastAsia" w:ascii="方正仿宋_GB2312" w:hAnsi="方正仿宋_GB2312" w:eastAsia="方正仿宋_GB2312" w:cs="方正仿宋_GB2312"/>
          <w:color w:val="auto"/>
          <w:kern w:val="0"/>
          <w:sz w:val="24"/>
          <w:szCs w:val="24"/>
          <w:lang w:bidi="en-US"/>
        </w:rPr>
      </w:pPr>
    </w:p>
    <w:p>
      <w:pPr>
        <w:numPr>
          <w:ilvl w:val="0"/>
          <w:numId w:val="4"/>
        </w:numPr>
        <w:spacing w:line="240" w:lineRule="auto"/>
        <w:ind w:left="425" w:leftChars="0" w:hanging="425" w:firstLineChars="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提供定期保养服务</w:t>
      </w:r>
    </w:p>
    <w:p>
      <w:pPr>
        <w:numPr>
          <w:ilvl w:val="0"/>
          <w:numId w:val="0"/>
        </w:numPr>
        <w:spacing w:line="240" w:lineRule="auto"/>
        <w:ind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投标人应制定期维保计划，保养过程中应针对维保设备详细记录维保设备型号、配置、用途以及维保记录，每次维保完成后递交报告，每年不少于4次保养，每次保养间隔期为一季度（办公时间内执行）。</w:t>
      </w:r>
    </w:p>
    <w:p>
      <w:pPr>
        <w:numPr>
          <w:ilvl w:val="0"/>
          <w:numId w:val="0"/>
        </w:numPr>
        <w:spacing w:line="240" w:lineRule="auto"/>
        <w:jc w:val="left"/>
        <w:rPr>
          <w:rFonts w:hint="eastAsia" w:ascii="方正仿宋_GB2312" w:hAnsi="方正仿宋_GB2312" w:eastAsia="方正仿宋_GB2312" w:cs="方正仿宋_GB2312"/>
          <w:kern w:val="0"/>
          <w:sz w:val="24"/>
          <w:szCs w:val="24"/>
          <w:lang w:val="en-US" w:eastAsia="zh-CN"/>
        </w:rPr>
      </w:pP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kern w:val="0"/>
          <w:sz w:val="24"/>
          <w:szCs w:val="24"/>
          <w:lang w:bidi="en-US"/>
        </w:rPr>
      </w:pPr>
      <w:r>
        <w:rPr>
          <w:rFonts w:hint="eastAsia" w:ascii="方正仿宋_GB2312" w:hAnsi="方正仿宋_GB2312" w:eastAsia="方正仿宋_GB2312" w:cs="方正仿宋_GB2312"/>
          <w:color w:val="auto"/>
          <w:sz w:val="24"/>
          <w:szCs w:val="24"/>
        </w:rPr>
        <w:t>故障处理要求</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故障的分级：</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一级（紧急故障）：维护设备非硬件问题完全不能正常工作；</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二级（严重故障）：维护设备非硬件问题导致运行故障，严重影响使用者工作；</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三级（限制性故障）：一般设备故障，故电池报警、供电异常等；</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四级（轻微的故障）：正确的操作可预防其故障的发生。</w:t>
      </w:r>
    </w:p>
    <w:p>
      <w:pPr>
        <w:spacing w:line="240" w:lineRule="auto"/>
        <w:ind w:firstLine="480" w:firstLineChars="200"/>
        <w:rPr>
          <w:rFonts w:hint="eastAsia" w:ascii="方正仿宋_GB2312" w:hAnsi="方正仿宋_GB2312" w:eastAsia="方正仿宋_GB2312" w:cs="方正仿宋_GB2312"/>
          <w:color w:val="auto"/>
          <w:kern w:val="0"/>
          <w:sz w:val="24"/>
          <w:szCs w:val="24"/>
          <w:lang w:bidi="en-US"/>
        </w:rPr>
      </w:pPr>
      <w:r>
        <w:rPr>
          <w:rFonts w:hint="eastAsia" w:ascii="方正仿宋_GB2312" w:hAnsi="方正仿宋_GB2312" w:eastAsia="方正仿宋_GB2312" w:cs="方正仿宋_GB2312"/>
          <w:color w:val="auto"/>
          <w:kern w:val="0"/>
          <w:sz w:val="24"/>
          <w:szCs w:val="24"/>
          <w:lang w:bidi="en-US"/>
        </w:rPr>
        <w:t>对于故障处理的要求一定要满足及时性，具体要求如下：</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一级、二级故障，5分钟现场响应，1</w:t>
      </w:r>
      <w:r>
        <w:rPr>
          <w:rFonts w:hint="eastAsia" w:ascii="方正仿宋_GB2312" w:hAnsi="方正仿宋_GB2312" w:eastAsia="方正仿宋_GB2312" w:cs="方正仿宋_GB2312"/>
          <w:color w:val="auto"/>
          <w:kern w:val="0"/>
          <w:sz w:val="24"/>
          <w:szCs w:val="24"/>
          <w:lang w:bidi="en-US"/>
        </w:rPr>
        <w:t>0分钟内做出处理预案</w:t>
      </w:r>
      <w:r>
        <w:rPr>
          <w:rFonts w:hint="eastAsia" w:ascii="方正仿宋_GB2312" w:hAnsi="方正仿宋_GB2312" w:eastAsia="方正仿宋_GB2312" w:cs="方正仿宋_GB2312"/>
          <w:color w:val="auto"/>
          <w:kern w:val="0"/>
          <w:sz w:val="24"/>
          <w:szCs w:val="24"/>
          <w:lang w:val="en-US" w:eastAsia="zh-CN" w:bidi="en-US"/>
        </w:rPr>
        <w:t>。三、四级故障，5分钟现场响应。</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一级、二级保障在20分钟内至少使故障得到暂时解决，40分钟内使故障得到有效解决。</w:t>
      </w:r>
    </w:p>
    <w:p>
      <w:pPr>
        <w:spacing w:line="240" w:lineRule="auto"/>
        <w:ind w:firstLine="480" w:firstLineChars="200"/>
        <w:rPr>
          <w:rFonts w:hint="eastAsia" w:ascii="方正仿宋_GB2312" w:hAnsi="方正仿宋_GB2312" w:eastAsia="方正仿宋_GB2312" w:cs="方正仿宋_GB2312"/>
          <w:color w:val="auto"/>
          <w:kern w:val="0"/>
          <w:sz w:val="24"/>
          <w:szCs w:val="24"/>
          <w:lang w:val="en-US" w:eastAsia="zh-CN" w:bidi="en-US"/>
        </w:rPr>
      </w:pPr>
      <w:r>
        <w:rPr>
          <w:rFonts w:hint="eastAsia" w:ascii="方正仿宋_GB2312" w:hAnsi="方正仿宋_GB2312" w:eastAsia="方正仿宋_GB2312" w:cs="方正仿宋_GB2312"/>
          <w:color w:val="auto"/>
          <w:kern w:val="0"/>
          <w:sz w:val="24"/>
          <w:szCs w:val="24"/>
          <w:lang w:val="en-US" w:eastAsia="zh-CN" w:bidi="en-US"/>
        </w:rPr>
        <w:t>三级、四级故障在2小时内得到有效解决。</w:t>
      </w:r>
    </w:p>
    <w:p>
      <w:pPr>
        <w:numPr>
          <w:ilvl w:val="0"/>
          <w:numId w:val="0"/>
        </w:numPr>
        <w:spacing w:line="240" w:lineRule="auto"/>
        <w:jc w:val="left"/>
        <w:rPr>
          <w:rFonts w:hint="eastAsia" w:ascii="方正仿宋_GB2312" w:hAnsi="方正仿宋_GB2312" w:eastAsia="方正仿宋_GB2312" w:cs="方正仿宋_GB2312"/>
          <w:kern w:val="0"/>
          <w:sz w:val="24"/>
          <w:szCs w:val="24"/>
          <w:lang w:val="en-US" w:eastAsia="zh-CN"/>
        </w:rPr>
      </w:pP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sz w:val="32"/>
          <w:szCs w:val="32"/>
          <w:lang w:val="en-US" w:eastAsia="zh-CN"/>
        </w:rPr>
        <w:t>★</w:t>
      </w:r>
      <w:r>
        <w:rPr>
          <w:rFonts w:hint="eastAsia" w:ascii="方正仿宋_GB2312" w:hAnsi="方正仿宋_GB2312" w:eastAsia="方正仿宋_GB2312" w:cs="方正仿宋_GB2312"/>
          <w:color w:val="auto"/>
          <w:sz w:val="24"/>
          <w:szCs w:val="24"/>
          <w:lang w:val="en-US" w:eastAsia="zh-CN"/>
        </w:rPr>
        <w:t>提供备件进行保修服务</w:t>
      </w:r>
    </w:p>
    <w:p>
      <w:pPr>
        <w:numPr>
          <w:ilvl w:val="0"/>
          <w:numId w:val="0"/>
        </w:numPr>
        <w:spacing w:line="240" w:lineRule="auto"/>
        <w:ind w:firstLine="480" w:firstLineChars="200"/>
        <w:jc w:val="left"/>
        <w:rPr>
          <w:rFonts w:hint="eastAsia" w:ascii="方正仿宋_GB2312" w:hAnsi="方正仿宋_GB2312" w:eastAsia="方正仿宋_GB2312" w:cs="方正仿宋_GB2312"/>
          <w:kern w:val="0"/>
          <w:sz w:val="44"/>
          <w:szCs w:val="44"/>
          <w:lang w:val="en-US" w:eastAsia="zh-CN"/>
        </w:rPr>
      </w:pPr>
      <w:r>
        <w:rPr>
          <w:rFonts w:hint="eastAsia" w:ascii="方正仿宋_GB2312" w:hAnsi="方正仿宋_GB2312" w:eastAsia="方正仿宋_GB2312" w:cs="方正仿宋_GB2312"/>
          <w:kern w:val="0"/>
          <w:sz w:val="24"/>
          <w:szCs w:val="24"/>
          <w:lang w:val="en-US" w:eastAsia="zh-CN"/>
        </w:rPr>
        <w:t>在绵阳本地库房储存与本项目维保相关设备的备品备件，在设备故障时能够及时提供相关备件到现场维修，所提供的必须是功能完好的原厂备品备件，投标人应出具承诺书并加盖投标人公章。</w:t>
      </w:r>
    </w:p>
    <w:p>
      <w:pPr>
        <w:numPr>
          <w:ilvl w:val="0"/>
          <w:numId w:val="0"/>
        </w:numPr>
        <w:spacing w:line="240" w:lineRule="auto"/>
        <w:jc w:val="left"/>
        <w:rPr>
          <w:rFonts w:hint="eastAsia" w:ascii="方正仿宋_GB2312" w:hAnsi="方正仿宋_GB2312" w:eastAsia="方正仿宋_GB2312" w:cs="方正仿宋_GB2312"/>
          <w:kern w:val="0"/>
          <w:sz w:val="44"/>
          <w:szCs w:val="44"/>
          <w:lang w:val="en-US" w:eastAsia="zh-CN"/>
        </w:rPr>
      </w:pPr>
    </w:p>
    <w:p>
      <w:pPr>
        <w:numPr>
          <w:ilvl w:val="0"/>
          <w:numId w:val="3"/>
        </w:numPr>
        <w:spacing w:line="240" w:lineRule="auto"/>
        <w:jc w:val="left"/>
        <w:rPr>
          <w:rFonts w:hint="eastAsia" w:ascii="方正仿宋_GB2312" w:hAnsi="方正仿宋_GB2312" w:eastAsia="方正仿宋_GB2312" w:cs="方正仿宋_GB2312"/>
          <w:kern w:val="0"/>
          <w:sz w:val="36"/>
          <w:szCs w:val="36"/>
          <w:lang w:val="en-US" w:eastAsia="zh-CN"/>
        </w:rPr>
      </w:pPr>
      <w:r>
        <w:rPr>
          <w:rFonts w:hint="eastAsia" w:ascii="方正仿宋_GB2312" w:hAnsi="方正仿宋_GB2312" w:eastAsia="方正仿宋_GB2312" w:cs="方正仿宋_GB2312"/>
          <w:kern w:val="0"/>
          <w:sz w:val="36"/>
          <w:szCs w:val="36"/>
          <w:lang w:val="en-US" w:eastAsia="zh-CN"/>
        </w:rPr>
        <w:t>维保人员要求</w:t>
      </w: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sz w:val="32"/>
          <w:szCs w:val="32"/>
          <w:lang w:val="en-US" w:eastAsia="zh-CN"/>
        </w:rPr>
        <w:t>★</w:t>
      </w:r>
      <w:r>
        <w:rPr>
          <w:rFonts w:hint="eastAsia" w:ascii="方正仿宋_GB2312" w:hAnsi="方正仿宋_GB2312" w:eastAsia="方正仿宋_GB2312" w:cs="方正仿宋_GB2312"/>
          <w:color w:val="auto"/>
          <w:sz w:val="24"/>
          <w:szCs w:val="24"/>
          <w:lang w:val="en-US" w:eastAsia="zh-CN"/>
        </w:rPr>
        <w:t>本项目应配置1名以上（含1名）专业的技术人员，并提供有效的在职证明，以及三年以上从事机房空调维保服务的有效证明文件，并加盖投标人公章。</w:t>
      </w:r>
    </w:p>
    <w:p>
      <w:pPr>
        <w:numPr>
          <w:ilvl w:val="0"/>
          <w:numId w:val="0"/>
        </w:numPr>
        <w:spacing w:line="240" w:lineRule="auto"/>
        <w:jc w:val="left"/>
        <w:rPr>
          <w:rFonts w:hint="eastAsia" w:ascii="方正仿宋_GB2312" w:hAnsi="方正仿宋_GB2312" w:eastAsia="方正仿宋_GB2312" w:cs="方正仿宋_GB2312"/>
          <w:kern w:val="0"/>
          <w:sz w:val="44"/>
          <w:szCs w:val="44"/>
          <w:lang w:val="en-US" w:eastAsia="zh-CN"/>
        </w:rPr>
      </w:pPr>
    </w:p>
    <w:p>
      <w:pPr>
        <w:numPr>
          <w:ilvl w:val="0"/>
          <w:numId w:val="2"/>
        </w:numPr>
        <w:spacing w:line="240" w:lineRule="auto"/>
        <w:ind w:leftChars="0"/>
        <w:jc w:val="left"/>
        <w:rPr>
          <w:rFonts w:hint="eastAsia" w:ascii="方正仿宋_GB2312" w:hAnsi="方正仿宋_GB2312" w:eastAsia="方正仿宋_GB2312" w:cs="方正仿宋_GB2312"/>
          <w:kern w:val="0"/>
          <w:sz w:val="36"/>
          <w:szCs w:val="36"/>
          <w:lang w:val="en-US" w:eastAsia="zh-CN"/>
        </w:rPr>
      </w:pPr>
      <w:r>
        <w:rPr>
          <w:rFonts w:hint="eastAsia" w:ascii="方正仿宋_GB2312" w:hAnsi="方正仿宋_GB2312" w:eastAsia="方正仿宋_GB2312" w:cs="方正仿宋_GB2312"/>
          <w:kern w:val="0"/>
          <w:sz w:val="36"/>
          <w:szCs w:val="36"/>
          <w:lang w:val="en-US" w:eastAsia="zh-CN"/>
        </w:rPr>
        <w:t>维保服务内容</w:t>
      </w:r>
    </w:p>
    <w:p>
      <w:pPr>
        <w:numPr>
          <w:ilvl w:val="0"/>
          <w:numId w:val="0"/>
        </w:numPr>
        <w:spacing w:line="240" w:lineRule="auto"/>
        <w:jc w:val="left"/>
        <w:rPr>
          <w:rFonts w:hint="eastAsia" w:ascii="方正仿宋_GB2312" w:hAnsi="方正仿宋_GB2312" w:eastAsia="方正仿宋_GB2312" w:cs="方正仿宋_GB2312"/>
          <w:kern w:val="0"/>
          <w:sz w:val="24"/>
          <w:szCs w:val="24"/>
          <w:lang w:val="en-US" w:eastAsia="zh-CN"/>
        </w:rPr>
      </w:pPr>
    </w:p>
    <w:p>
      <w:pPr>
        <w:numPr>
          <w:ilvl w:val="0"/>
          <w:numId w:val="0"/>
        </w:numPr>
        <w:spacing w:line="240" w:lineRule="auto"/>
        <w:jc w:val="left"/>
        <w:rPr>
          <w:rFonts w:hint="eastAsia" w:ascii="方正仿宋_GB2312" w:hAnsi="方正仿宋_GB2312" w:eastAsia="方正仿宋_GB2312" w:cs="方正仿宋_GB2312"/>
          <w:kern w:val="0"/>
          <w:sz w:val="24"/>
          <w:szCs w:val="24"/>
          <w:lang w:val="en-US" w:eastAsia="zh-CN"/>
        </w:rPr>
      </w:pP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精密空调保养内容</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检查控制器显示的温度和相对温度值与实际值是否相符。</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检查控制器记录，查看有关报警和报警记录，如有报警及时处理，并对报警原因进行分析，采取相应的措施避免故障再次出现。</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检查风机马达运转是否正常、有无异常噪音，并且轴承不热，检查耗油量。对于由皮带传动的机组，检查传动皮带，用手指拉紧时，是否可产生延长2CM。</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对各物理连接部位进行检查，对关键部位及有问题部件进行调整与紧固</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空气过滤器：检查过滤器状态，如果必要可对其进行清洁或更换。</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利用专业仪表对压缩机运行工况进行测定、分析、调整，测试相关数据并与标准进行核对比较，判断压缩机的性能情况</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检查运行高压和低压压力；</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根据实际情况对室外冷凝系统进行清洗维护</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应保证每个季度更换一次过滤网</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应保证每3个月对室外机进行清洗维护</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对空调进行起停测试，利用专用软件观察设备的起停参数是否异常</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检查空调设备管路及制冷系统运行参数，运动部件情况，散热器及过滤装备情况，隔温材料完好情况，对易损件（如过滤网、加器、皮带）检查其状况并适时更换。检查设备的自控和报警装置；水质控制，加湿系统除垢/清洁养护。</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检查电源的各相，确保电路接点紧密。</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利用专用软件对加热组件进行测定与维护，采集相关参数并判断运行状态</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利用专用软件进行电气元件测试与维护及电气控制系统的测试与整定</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冷凝盘管：从底部观察是否已脏，如果脏，应清洗，拆下风扇顺散热片方向，用高压水由上向下冲洗盘管，操作时应注意避免损坏盘管。</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漏水报警系统：模拟漏水紧急实验，保持泄露管道畅通，定期检测传感器、跳线、主机，及时更换维修损坏失效部分。</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提交所有服务报告及测试记录。</w:t>
      </w:r>
    </w:p>
    <w:p>
      <w:pPr>
        <w:numPr>
          <w:ilvl w:val="0"/>
          <w:numId w:val="5"/>
        </w:numPr>
        <w:spacing w:line="240" w:lineRule="auto"/>
        <w:ind w:left="0" w:leftChars="0" w:firstLine="480" w:firstLineChars="200"/>
        <w:jc w:val="left"/>
        <w:rPr>
          <w:rFonts w:hint="eastAsia" w:ascii="方正仿宋_GB2312" w:hAnsi="方正仿宋_GB2312" w:eastAsia="方正仿宋_GB2312" w:cs="方正仿宋_GB2312"/>
          <w:kern w:val="0"/>
          <w:sz w:val="24"/>
          <w:szCs w:val="24"/>
          <w:lang w:val="en-US" w:eastAsia="zh-CN"/>
        </w:rPr>
      </w:pPr>
      <w:r>
        <w:rPr>
          <w:rFonts w:hint="eastAsia" w:ascii="方正仿宋_GB2312" w:hAnsi="方正仿宋_GB2312" w:eastAsia="方正仿宋_GB2312" w:cs="方正仿宋_GB2312"/>
          <w:kern w:val="0"/>
          <w:sz w:val="24"/>
          <w:szCs w:val="24"/>
          <w:lang w:val="en-US" w:eastAsia="zh-CN"/>
        </w:rPr>
        <w:t>汇报任何异常情况，并提出解决方案。</w:t>
      </w:r>
    </w:p>
    <w:p>
      <w:pPr>
        <w:numPr>
          <w:ilvl w:val="0"/>
          <w:numId w:val="0"/>
        </w:numPr>
        <w:spacing w:line="240" w:lineRule="auto"/>
        <w:jc w:val="left"/>
        <w:rPr>
          <w:rFonts w:hint="eastAsia" w:ascii="方正仿宋_GB2312" w:hAnsi="方正仿宋_GB2312" w:eastAsia="方正仿宋_GB2312" w:cs="方正仿宋_GB2312"/>
          <w:kern w:val="0"/>
          <w:sz w:val="24"/>
          <w:szCs w:val="24"/>
          <w:lang w:val="en-US" w:eastAsia="zh-CN"/>
        </w:rPr>
      </w:pPr>
    </w:p>
    <w:p>
      <w:pPr>
        <w:numPr>
          <w:ilvl w:val="0"/>
          <w:numId w:val="2"/>
        </w:numPr>
        <w:spacing w:line="240" w:lineRule="auto"/>
        <w:ind w:leftChars="0"/>
        <w:jc w:val="left"/>
        <w:rPr>
          <w:rFonts w:hint="eastAsia" w:ascii="方正仿宋_GB2312" w:hAnsi="方正仿宋_GB2312" w:eastAsia="方正仿宋_GB2312" w:cs="方正仿宋_GB2312"/>
          <w:kern w:val="0"/>
          <w:sz w:val="44"/>
          <w:szCs w:val="44"/>
          <w:lang w:val="en-US" w:eastAsia="zh-CN"/>
        </w:rPr>
      </w:pPr>
      <w:r>
        <w:rPr>
          <w:rFonts w:hint="eastAsia" w:ascii="方正仿宋_GB2312" w:hAnsi="方正仿宋_GB2312" w:eastAsia="方正仿宋_GB2312" w:cs="方正仿宋_GB2312"/>
          <w:kern w:val="0"/>
          <w:sz w:val="44"/>
          <w:szCs w:val="44"/>
          <w:lang w:val="en-US" w:eastAsia="zh-CN"/>
        </w:rPr>
        <w:t>维保服务考核</w:t>
      </w: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sz w:val="24"/>
          <w:szCs w:val="24"/>
          <w:lang w:val="en-US" w:eastAsia="zh-CN"/>
        </w:rPr>
      </w:pPr>
      <w:bookmarkStart w:id="0" w:name="_Toc356823989"/>
      <w:r>
        <w:rPr>
          <w:rFonts w:hint="eastAsia" w:ascii="方正仿宋_GB2312" w:hAnsi="方正仿宋_GB2312" w:eastAsia="方正仿宋_GB2312" w:cs="方正仿宋_GB2312"/>
          <w:color w:val="auto"/>
          <w:sz w:val="24"/>
          <w:szCs w:val="24"/>
          <w:lang w:val="en-US" w:eastAsia="zh-CN"/>
        </w:rPr>
        <w:t>投标人应安排责任心强、有技术实力的维保人员进行维保工作。</w:t>
      </w:r>
    </w:p>
    <w:p>
      <w:pPr>
        <w:pStyle w:val="23"/>
        <w:spacing w:afterLines="0" w:line="240" w:lineRule="auto"/>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lang w:eastAsia="zh-CN"/>
        </w:rPr>
        <w:t>（</w:t>
      </w:r>
      <w:r>
        <w:rPr>
          <w:rFonts w:hint="eastAsia" w:ascii="方正仿宋_GB2312" w:hAnsi="方正仿宋_GB2312" w:eastAsia="方正仿宋_GB2312" w:cs="方正仿宋_GB2312"/>
          <w:color w:val="auto"/>
          <w:sz w:val="24"/>
          <w:szCs w:val="24"/>
          <w:lang w:val="en-US" w:eastAsia="zh-CN"/>
        </w:rPr>
        <w:t>1</w:t>
      </w:r>
      <w:r>
        <w:rPr>
          <w:rFonts w:hint="eastAsia" w:ascii="方正仿宋_GB2312" w:hAnsi="方正仿宋_GB2312" w:eastAsia="方正仿宋_GB2312" w:cs="方正仿宋_GB2312"/>
          <w:color w:val="auto"/>
          <w:sz w:val="24"/>
          <w:szCs w:val="24"/>
          <w:lang w:eastAsia="zh-CN"/>
        </w:rPr>
        <w:t>）</w:t>
      </w:r>
      <w:r>
        <w:rPr>
          <w:rFonts w:hint="eastAsia" w:ascii="方正仿宋_GB2312" w:hAnsi="方正仿宋_GB2312" w:eastAsia="方正仿宋_GB2312" w:cs="方正仿宋_GB2312"/>
          <w:color w:val="auto"/>
          <w:sz w:val="24"/>
          <w:szCs w:val="24"/>
        </w:rPr>
        <w:t>若因</w:t>
      </w:r>
      <w:r>
        <w:rPr>
          <w:rFonts w:hint="eastAsia" w:ascii="方正仿宋_GB2312" w:hAnsi="方正仿宋_GB2312" w:eastAsia="方正仿宋_GB2312" w:cs="方正仿宋_GB2312"/>
          <w:color w:val="auto"/>
          <w:sz w:val="24"/>
          <w:szCs w:val="24"/>
          <w:lang w:eastAsia="zh-CN"/>
        </w:rPr>
        <w:t>维保</w:t>
      </w:r>
      <w:r>
        <w:rPr>
          <w:rFonts w:hint="eastAsia" w:ascii="方正仿宋_GB2312" w:hAnsi="方正仿宋_GB2312" w:eastAsia="方正仿宋_GB2312" w:cs="方正仿宋_GB2312"/>
          <w:color w:val="auto"/>
          <w:sz w:val="24"/>
          <w:szCs w:val="24"/>
        </w:rPr>
        <w:t>工作人员确导致的异常和故障，应由</w:t>
      </w:r>
      <w:r>
        <w:rPr>
          <w:rFonts w:hint="eastAsia" w:ascii="方正仿宋_GB2312" w:hAnsi="方正仿宋_GB2312" w:eastAsia="方正仿宋_GB2312" w:cs="方正仿宋_GB2312"/>
          <w:color w:val="auto"/>
          <w:sz w:val="24"/>
          <w:szCs w:val="24"/>
          <w:lang w:eastAsia="zh-CN"/>
        </w:rPr>
        <w:t>维保</w:t>
      </w:r>
      <w:r>
        <w:rPr>
          <w:rFonts w:hint="eastAsia" w:ascii="方正仿宋_GB2312" w:hAnsi="方正仿宋_GB2312" w:eastAsia="方正仿宋_GB2312" w:cs="方正仿宋_GB2312"/>
          <w:color w:val="auto"/>
          <w:sz w:val="24"/>
          <w:szCs w:val="24"/>
        </w:rPr>
        <w:t>公司负责将异常和故障进行无偿处理和恢复。</w:t>
      </w:r>
    </w:p>
    <w:p>
      <w:pPr>
        <w:pStyle w:val="23"/>
        <w:spacing w:afterLines="0" w:line="240" w:lineRule="auto"/>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rPr>
        <w:t>若故障影响较大或造成了较为恶劣的后果，</w:t>
      </w:r>
      <w:r>
        <w:rPr>
          <w:rFonts w:hint="eastAsia" w:ascii="方正仿宋_GB2312" w:hAnsi="方正仿宋_GB2312" w:eastAsia="方正仿宋_GB2312" w:cs="方正仿宋_GB2312"/>
          <w:color w:val="auto"/>
          <w:sz w:val="24"/>
          <w:szCs w:val="24"/>
          <w:lang w:eastAsia="zh-CN"/>
        </w:rPr>
        <w:t>投标人</w:t>
      </w:r>
      <w:r>
        <w:rPr>
          <w:rFonts w:hint="eastAsia" w:ascii="方正仿宋_GB2312" w:hAnsi="方正仿宋_GB2312" w:eastAsia="方正仿宋_GB2312" w:cs="方正仿宋_GB2312"/>
          <w:color w:val="auto"/>
          <w:sz w:val="24"/>
          <w:szCs w:val="24"/>
        </w:rPr>
        <w:t>须向</w:t>
      </w:r>
      <w:r>
        <w:rPr>
          <w:rFonts w:hint="eastAsia" w:ascii="方正仿宋_GB2312" w:hAnsi="方正仿宋_GB2312" w:eastAsia="方正仿宋_GB2312" w:cs="方正仿宋_GB2312"/>
          <w:color w:val="auto"/>
          <w:sz w:val="24"/>
          <w:szCs w:val="24"/>
          <w:lang w:eastAsia="zh-CN"/>
        </w:rPr>
        <w:t>采购人</w:t>
      </w:r>
      <w:r>
        <w:rPr>
          <w:rFonts w:hint="eastAsia" w:ascii="方正仿宋_GB2312" w:hAnsi="方正仿宋_GB2312" w:eastAsia="方正仿宋_GB2312" w:cs="方正仿宋_GB2312"/>
          <w:color w:val="auto"/>
          <w:sz w:val="24"/>
          <w:szCs w:val="24"/>
        </w:rPr>
        <w:t>支付三倍故障维修金额的赔偿金</w:t>
      </w:r>
      <w:r>
        <w:rPr>
          <w:rFonts w:hint="eastAsia" w:ascii="方正仿宋_GB2312" w:hAnsi="方正仿宋_GB2312" w:eastAsia="方正仿宋_GB2312" w:cs="方正仿宋_GB2312"/>
          <w:color w:val="auto"/>
          <w:sz w:val="24"/>
          <w:szCs w:val="24"/>
          <w:lang w:eastAsia="zh-CN"/>
        </w:rPr>
        <w:t>，</w:t>
      </w:r>
      <w:r>
        <w:rPr>
          <w:rFonts w:hint="eastAsia" w:ascii="方正仿宋_GB2312" w:hAnsi="方正仿宋_GB2312" w:eastAsia="方正仿宋_GB2312" w:cs="方正仿宋_GB2312"/>
          <w:color w:val="auto"/>
          <w:sz w:val="24"/>
          <w:szCs w:val="24"/>
        </w:rPr>
        <w:t>同时</w:t>
      </w:r>
      <w:r>
        <w:rPr>
          <w:rFonts w:hint="eastAsia" w:ascii="方正仿宋_GB2312" w:hAnsi="方正仿宋_GB2312" w:eastAsia="方正仿宋_GB2312" w:cs="方正仿宋_GB2312"/>
          <w:color w:val="auto"/>
          <w:sz w:val="24"/>
          <w:szCs w:val="24"/>
          <w:lang w:eastAsia="zh-CN"/>
        </w:rPr>
        <w:t>采购人</w:t>
      </w:r>
      <w:r>
        <w:rPr>
          <w:rFonts w:hint="eastAsia" w:ascii="方正仿宋_GB2312" w:hAnsi="方正仿宋_GB2312" w:eastAsia="方正仿宋_GB2312" w:cs="方正仿宋_GB2312"/>
          <w:color w:val="auto"/>
          <w:sz w:val="24"/>
          <w:szCs w:val="24"/>
        </w:rPr>
        <w:t>将保留向</w:t>
      </w:r>
      <w:r>
        <w:rPr>
          <w:rFonts w:hint="eastAsia" w:ascii="方正仿宋_GB2312" w:hAnsi="方正仿宋_GB2312" w:eastAsia="方正仿宋_GB2312" w:cs="方正仿宋_GB2312"/>
          <w:color w:val="auto"/>
          <w:sz w:val="24"/>
          <w:szCs w:val="24"/>
          <w:lang w:eastAsia="zh-CN"/>
        </w:rPr>
        <w:t>投标人</w:t>
      </w:r>
      <w:r>
        <w:rPr>
          <w:rFonts w:hint="eastAsia" w:ascii="方正仿宋_GB2312" w:hAnsi="方正仿宋_GB2312" w:eastAsia="方正仿宋_GB2312" w:cs="方正仿宋_GB2312"/>
          <w:color w:val="auto"/>
          <w:sz w:val="24"/>
          <w:szCs w:val="24"/>
        </w:rPr>
        <w:t>追究民事或刑事责任的权利。</w:t>
      </w:r>
    </w:p>
    <w:p>
      <w:pPr>
        <w:spacing w:line="240" w:lineRule="auto"/>
        <w:ind w:firstLine="480" w:firstLineChars="200"/>
        <w:jc w:val="left"/>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rPr>
        <w:t>详细的考核和追责办法将在本项目签订合同时一并签订。</w:t>
      </w:r>
      <w:bookmarkEnd w:id="0"/>
    </w:p>
    <w:p>
      <w:pPr>
        <w:spacing w:line="240" w:lineRule="auto"/>
        <w:ind w:firstLine="480" w:firstLineChars="200"/>
        <w:jc w:val="left"/>
        <w:rPr>
          <w:rFonts w:hint="eastAsia" w:ascii="方正仿宋_GB2312" w:hAnsi="方正仿宋_GB2312" w:eastAsia="方正仿宋_GB2312" w:cs="方正仿宋_GB2312"/>
          <w:color w:val="auto"/>
          <w:sz w:val="24"/>
          <w:szCs w:val="24"/>
        </w:rPr>
      </w:pPr>
      <w:r>
        <w:rPr>
          <w:rFonts w:hint="eastAsia" w:ascii="方正仿宋_GB2312" w:hAnsi="方正仿宋_GB2312" w:eastAsia="方正仿宋_GB2312" w:cs="方正仿宋_GB2312"/>
          <w:color w:val="auto"/>
          <w:sz w:val="24"/>
          <w:szCs w:val="24"/>
          <w:lang w:val="en-US" w:eastAsia="zh-CN"/>
        </w:rPr>
        <w:t>（2）</w:t>
      </w:r>
      <w:r>
        <w:rPr>
          <w:rFonts w:hint="eastAsia" w:ascii="方正仿宋_GB2312" w:hAnsi="方正仿宋_GB2312" w:eastAsia="方正仿宋_GB2312" w:cs="方正仿宋_GB2312"/>
          <w:color w:val="auto"/>
          <w:sz w:val="24"/>
          <w:szCs w:val="24"/>
        </w:rPr>
        <w:t>重大活动及节假日技术保障</w:t>
      </w:r>
    </w:p>
    <w:p>
      <w:pPr>
        <w:spacing w:line="240" w:lineRule="auto"/>
        <w:ind w:firstLine="480" w:firstLineChars="200"/>
        <w:jc w:val="left"/>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rPr>
        <w:t>春节、五一、国庆、元旦等节假日及重大政治活动日期间（节假日前后一段时期，根据具体情况而定），</w:t>
      </w:r>
      <w:r>
        <w:rPr>
          <w:rFonts w:hint="eastAsia" w:ascii="方正仿宋_GB2312" w:hAnsi="方正仿宋_GB2312" w:eastAsia="方正仿宋_GB2312" w:cs="方正仿宋_GB2312"/>
          <w:color w:val="auto"/>
          <w:sz w:val="24"/>
          <w:szCs w:val="24"/>
          <w:lang w:val="en-US" w:eastAsia="zh-CN"/>
        </w:rPr>
        <w:t>应制定相应的</w:t>
      </w:r>
      <w:r>
        <w:rPr>
          <w:rFonts w:hint="eastAsia" w:ascii="方正仿宋_GB2312" w:hAnsi="方正仿宋_GB2312" w:eastAsia="方正仿宋_GB2312" w:cs="方正仿宋_GB2312"/>
          <w:color w:val="auto"/>
          <w:sz w:val="24"/>
          <w:szCs w:val="24"/>
        </w:rPr>
        <w:t>技术保障</w:t>
      </w:r>
      <w:r>
        <w:rPr>
          <w:rFonts w:hint="eastAsia" w:ascii="方正仿宋_GB2312" w:hAnsi="方正仿宋_GB2312" w:eastAsia="方正仿宋_GB2312" w:cs="方正仿宋_GB2312"/>
          <w:color w:val="auto"/>
          <w:sz w:val="24"/>
          <w:szCs w:val="24"/>
          <w:lang w:val="en-US" w:eastAsia="zh-CN"/>
        </w:rPr>
        <w:t>方案，</w:t>
      </w:r>
      <w:r>
        <w:rPr>
          <w:rFonts w:hint="eastAsia" w:ascii="方正仿宋_GB2312" w:hAnsi="方正仿宋_GB2312" w:eastAsia="方正仿宋_GB2312" w:cs="方正仿宋_GB2312"/>
          <w:color w:val="auto"/>
          <w:sz w:val="24"/>
          <w:szCs w:val="24"/>
        </w:rPr>
        <w:t>对</w:t>
      </w:r>
      <w:r>
        <w:rPr>
          <w:rFonts w:hint="eastAsia" w:ascii="方正仿宋_GB2312" w:hAnsi="方正仿宋_GB2312" w:eastAsia="方正仿宋_GB2312" w:cs="方正仿宋_GB2312"/>
          <w:color w:val="auto"/>
          <w:sz w:val="24"/>
          <w:szCs w:val="24"/>
          <w:lang w:eastAsia="zh-CN"/>
        </w:rPr>
        <w:t>所有</w:t>
      </w:r>
      <w:r>
        <w:rPr>
          <w:rFonts w:hint="eastAsia" w:ascii="方正仿宋_GB2312" w:hAnsi="方正仿宋_GB2312" w:eastAsia="方正仿宋_GB2312" w:cs="方正仿宋_GB2312"/>
          <w:color w:val="auto"/>
          <w:sz w:val="24"/>
          <w:szCs w:val="24"/>
          <w:lang w:val="en-US" w:eastAsia="zh-CN"/>
        </w:rPr>
        <w:t>涉及维保的</w:t>
      </w:r>
      <w:r>
        <w:rPr>
          <w:rFonts w:hint="eastAsia" w:ascii="方正仿宋_GB2312" w:hAnsi="方正仿宋_GB2312" w:eastAsia="方正仿宋_GB2312" w:cs="方正仿宋_GB2312"/>
          <w:color w:val="auto"/>
          <w:sz w:val="24"/>
          <w:szCs w:val="24"/>
          <w:lang w:eastAsia="zh-CN"/>
        </w:rPr>
        <w:t>设备</w:t>
      </w:r>
      <w:r>
        <w:rPr>
          <w:rFonts w:hint="eastAsia" w:ascii="方正仿宋_GB2312" w:hAnsi="方正仿宋_GB2312" w:eastAsia="方正仿宋_GB2312" w:cs="方正仿宋_GB2312"/>
          <w:color w:val="auto"/>
          <w:sz w:val="24"/>
          <w:szCs w:val="24"/>
        </w:rPr>
        <w:t>进行重点关注，</w:t>
      </w:r>
      <w:r>
        <w:rPr>
          <w:rFonts w:hint="eastAsia" w:ascii="方正仿宋_GB2312" w:hAnsi="方正仿宋_GB2312" w:eastAsia="方正仿宋_GB2312" w:cs="方正仿宋_GB2312"/>
          <w:color w:val="auto"/>
          <w:sz w:val="24"/>
          <w:szCs w:val="24"/>
          <w:lang w:val="en-US" w:eastAsia="zh-CN"/>
        </w:rPr>
        <w:t>安排专人值班。</w:t>
      </w:r>
      <w:r>
        <w:rPr>
          <w:rFonts w:hint="eastAsia" w:ascii="方正仿宋_GB2312" w:hAnsi="方正仿宋_GB2312" w:eastAsia="方正仿宋_GB2312" w:cs="方正仿宋_GB2312"/>
          <w:color w:val="auto"/>
          <w:sz w:val="24"/>
          <w:szCs w:val="24"/>
        </w:rPr>
        <w:t>提升应急响应级别，提供全面的设备保障服</w:t>
      </w:r>
      <w:r>
        <w:rPr>
          <w:rFonts w:hint="eastAsia" w:ascii="方正仿宋_GB2312" w:hAnsi="方正仿宋_GB2312" w:eastAsia="方正仿宋_GB2312" w:cs="方正仿宋_GB2312"/>
          <w:color w:val="auto"/>
          <w:sz w:val="24"/>
          <w:szCs w:val="24"/>
          <w:lang w:eastAsia="zh-CN"/>
        </w:rPr>
        <w:t>务。</w:t>
      </w: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投标人维保服务考评办法</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考评时间安排：</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每半年进行一次考评，应在支付维保费前进行。</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考评办法：</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①根据供应商驻场人员维护服务表现情况，对供应商驻场人员的考评打分主要分为四个方面：工作业绩、工作能力、工作态度、人员管理。具体要求如下：</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工作业绩：每半年维护工作计划的计划性和完成情况；</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工作能力：每半年维护工作完成的质量和效率；</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工作态度：驻场人员在进行维保过程中的积极性、缜密性、责任感和执行力；</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人员管理：驻场人员的管理情况及管理效果。</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②驻场人员考评结果定级，具体定义如下：</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合格：考评分数不低于80分（包含80分）。</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不合格：考评分数低于80分。</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具体考评打分情况可参考下表执行：</w:t>
      </w:r>
    </w:p>
    <w:p>
      <w:pPr>
        <w:pStyle w:val="23"/>
        <w:spacing w:afterLines="0" w:line="240" w:lineRule="auto"/>
        <w:ind w:firstLine="360" w:firstLineChars="150"/>
        <w:rPr>
          <w:rFonts w:hint="eastAsia" w:ascii="方正仿宋_GB2312" w:hAnsi="方正仿宋_GB2312" w:eastAsia="方正仿宋_GB2312" w:cs="方正仿宋_GB2312"/>
          <w:color w:val="auto"/>
          <w:sz w:val="24"/>
          <w:szCs w:val="24"/>
          <w:lang w:val="en-US" w:eastAsia="zh-CN"/>
        </w:rPr>
      </w:pPr>
    </w:p>
    <w:p>
      <w:pPr>
        <w:pStyle w:val="21"/>
        <w:spacing w:line="240" w:lineRule="auto"/>
        <w:ind w:left="0" w:leftChars="0" w:firstLine="520" w:firstLineChars="100"/>
        <w:jc w:val="both"/>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52"/>
          <w:szCs w:val="52"/>
          <w:lang w:val="en-US" w:eastAsia="zh-CN"/>
        </w:rPr>
        <w:t>机房空调维保服务考评表（XX年度）</w:t>
      </w:r>
    </w:p>
    <w:p>
      <w:pPr>
        <w:pStyle w:val="21"/>
        <w:spacing w:line="240" w:lineRule="auto"/>
        <w:rPr>
          <w:rFonts w:hint="eastAsia" w:ascii="方正仿宋_GB2312" w:hAnsi="方正仿宋_GB2312" w:eastAsia="方正仿宋_GB2312" w:cs="方正仿宋_GB2312"/>
          <w:sz w:val="32"/>
          <w:szCs w:val="32"/>
          <w:lang w:val="en-US" w:eastAsia="zh-CN"/>
        </w:rPr>
      </w:pPr>
    </w:p>
    <w:tbl>
      <w:tblPr>
        <w:tblStyle w:val="13"/>
        <w:tblW w:w="6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906"/>
        <w:gridCol w:w="830"/>
        <w:gridCol w:w="966"/>
        <w:gridCol w:w="957"/>
        <w:gridCol w:w="2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658" w:type="dxa"/>
            <w:vAlign w:val="center"/>
          </w:tcPr>
          <w:p>
            <w:pPr>
              <w:pStyle w:val="21"/>
              <w:spacing w:line="240" w:lineRule="auto"/>
              <w:ind w:left="0" w:leftChars="0" w:firstLine="0" w:firstLineChars="0"/>
              <w:jc w:val="center"/>
              <w:rPr>
                <w:rFonts w:hint="eastAsia" w:ascii="方正仿宋_GB2312" w:hAnsi="方正仿宋_GB2312" w:eastAsia="方正仿宋_GB2312" w:cs="方正仿宋_GB2312"/>
                <w:sz w:val="24"/>
                <w:szCs w:val="24"/>
                <w:vertAlign w:val="baseline"/>
                <w:lang w:val="en-US" w:eastAsia="zh-CN"/>
              </w:rPr>
            </w:pPr>
            <w:r>
              <w:rPr>
                <w:rFonts w:hint="eastAsia" w:ascii="方正仿宋_GB2312" w:hAnsi="方正仿宋_GB2312" w:eastAsia="方正仿宋_GB2312" w:cs="方正仿宋_GB2312"/>
                <w:sz w:val="24"/>
                <w:szCs w:val="24"/>
                <w:vertAlign w:val="baseline"/>
                <w:lang w:val="en-US" w:eastAsia="zh-CN"/>
              </w:rPr>
              <w:t>姓名</w:t>
            </w:r>
          </w:p>
        </w:tc>
        <w:tc>
          <w:tcPr>
            <w:tcW w:w="906" w:type="dxa"/>
            <w:vAlign w:val="center"/>
          </w:tcPr>
          <w:p>
            <w:pPr>
              <w:pStyle w:val="21"/>
              <w:spacing w:line="240" w:lineRule="auto"/>
              <w:ind w:left="0" w:leftChars="0" w:firstLine="0" w:firstLineChars="0"/>
              <w:jc w:val="center"/>
              <w:rPr>
                <w:rFonts w:hint="eastAsia" w:ascii="方正仿宋_GB2312" w:hAnsi="方正仿宋_GB2312" w:eastAsia="方正仿宋_GB2312" w:cs="方正仿宋_GB2312"/>
                <w:sz w:val="24"/>
                <w:szCs w:val="24"/>
                <w:vertAlign w:val="baseline"/>
                <w:lang w:val="en-US" w:eastAsia="zh-CN"/>
              </w:rPr>
            </w:pPr>
            <w:r>
              <w:rPr>
                <w:rFonts w:hint="eastAsia" w:ascii="方正仿宋_GB2312" w:hAnsi="方正仿宋_GB2312" w:eastAsia="方正仿宋_GB2312" w:cs="方正仿宋_GB2312"/>
                <w:sz w:val="24"/>
                <w:szCs w:val="24"/>
                <w:lang w:val="en-US" w:eastAsia="zh-CN"/>
              </w:rPr>
              <w:t>工作业绩（25分）</w:t>
            </w:r>
          </w:p>
        </w:tc>
        <w:tc>
          <w:tcPr>
            <w:tcW w:w="830" w:type="dxa"/>
            <w:vAlign w:val="center"/>
          </w:tcPr>
          <w:p>
            <w:pPr>
              <w:pStyle w:val="21"/>
              <w:spacing w:line="240" w:lineRule="auto"/>
              <w:ind w:left="0" w:leftChars="0" w:firstLine="0" w:firstLineChars="0"/>
              <w:jc w:val="center"/>
              <w:rPr>
                <w:rFonts w:hint="eastAsia" w:ascii="方正仿宋_GB2312" w:hAnsi="方正仿宋_GB2312" w:eastAsia="方正仿宋_GB2312" w:cs="方正仿宋_GB2312"/>
                <w:sz w:val="24"/>
                <w:szCs w:val="24"/>
                <w:vertAlign w:val="baseline"/>
                <w:lang w:val="en-US" w:eastAsia="zh-CN"/>
              </w:rPr>
            </w:pPr>
            <w:r>
              <w:rPr>
                <w:rFonts w:hint="eastAsia" w:ascii="方正仿宋_GB2312" w:hAnsi="方正仿宋_GB2312" w:eastAsia="方正仿宋_GB2312" w:cs="方正仿宋_GB2312"/>
                <w:sz w:val="24"/>
                <w:szCs w:val="24"/>
                <w:lang w:val="en-US" w:eastAsia="zh-CN"/>
              </w:rPr>
              <w:t>工作能力（25分）</w:t>
            </w:r>
          </w:p>
        </w:tc>
        <w:tc>
          <w:tcPr>
            <w:tcW w:w="966" w:type="dxa"/>
            <w:vAlign w:val="center"/>
          </w:tcPr>
          <w:p>
            <w:pPr>
              <w:pStyle w:val="21"/>
              <w:spacing w:line="240" w:lineRule="auto"/>
              <w:ind w:left="0" w:leftChars="0" w:firstLine="0" w:firstLineChars="0"/>
              <w:jc w:val="center"/>
              <w:rPr>
                <w:rFonts w:hint="eastAsia" w:ascii="方正仿宋_GB2312" w:hAnsi="方正仿宋_GB2312" w:eastAsia="方正仿宋_GB2312" w:cs="方正仿宋_GB2312"/>
                <w:sz w:val="24"/>
                <w:szCs w:val="24"/>
                <w:vertAlign w:val="baseline"/>
                <w:lang w:val="en-US" w:eastAsia="zh-CN"/>
              </w:rPr>
            </w:pPr>
            <w:r>
              <w:rPr>
                <w:rFonts w:hint="eastAsia" w:ascii="方正仿宋_GB2312" w:hAnsi="方正仿宋_GB2312" w:eastAsia="方正仿宋_GB2312" w:cs="方正仿宋_GB2312"/>
                <w:sz w:val="24"/>
                <w:szCs w:val="24"/>
                <w:lang w:val="en-US" w:eastAsia="zh-CN"/>
              </w:rPr>
              <w:t>工作态度（25分）</w:t>
            </w:r>
          </w:p>
        </w:tc>
        <w:tc>
          <w:tcPr>
            <w:tcW w:w="957" w:type="dxa"/>
            <w:vAlign w:val="center"/>
          </w:tcPr>
          <w:p>
            <w:pPr>
              <w:pStyle w:val="21"/>
              <w:spacing w:line="240" w:lineRule="auto"/>
              <w:ind w:left="0" w:leftChars="0" w:firstLine="0" w:firstLineChars="0"/>
              <w:jc w:val="center"/>
              <w:rPr>
                <w:rFonts w:hint="eastAsia" w:ascii="方正仿宋_GB2312" w:hAnsi="方正仿宋_GB2312" w:eastAsia="方正仿宋_GB2312" w:cs="方正仿宋_GB2312"/>
                <w:sz w:val="24"/>
                <w:szCs w:val="24"/>
                <w:vertAlign w:val="baseline"/>
                <w:lang w:val="en-US" w:eastAsia="zh-CN"/>
              </w:rPr>
            </w:pPr>
            <w:r>
              <w:rPr>
                <w:rFonts w:hint="eastAsia" w:ascii="方正仿宋_GB2312" w:hAnsi="方正仿宋_GB2312" w:eastAsia="方正仿宋_GB2312" w:cs="方正仿宋_GB2312"/>
                <w:sz w:val="24"/>
                <w:szCs w:val="24"/>
                <w:lang w:val="en-US" w:eastAsia="zh-CN"/>
              </w:rPr>
              <w:t>人员管理（25分）</w:t>
            </w:r>
          </w:p>
        </w:tc>
        <w:tc>
          <w:tcPr>
            <w:tcW w:w="2220" w:type="dxa"/>
            <w:vAlign w:val="center"/>
          </w:tcPr>
          <w:p>
            <w:pPr>
              <w:pStyle w:val="21"/>
              <w:spacing w:line="240" w:lineRule="auto"/>
              <w:ind w:left="0" w:leftChars="0" w:firstLine="0" w:firstLineChars="0"/>
              <w:jc w:val="center"/>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总分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58" w:type="dxa"/>
            <w:vAlign w:val="center"/>
          </w:tcPr>
          <w:p>
            <w:pPr>
              <w:pStyle w:val="21"/>
              <w:spacing w:line="240" w:lineRule="auto"/>
              <w:jc w:val="center"/>
              <w:rPr>
                <w:rFonts w:hint="eastAsia" w:ascii="方正仿宋_GB2312" w:hAnsi="方正仿宋_GB2312" w:eastAsia="方正仿宋_GB2312" w:cs="方正仿宋_GB2312"/>
                <w:sz w:val="24"/>
                <w:szCs w:val="24"/>
                <w:vertAlign w:val="baseline"/>
                <w:lang w:val="en-US" w:eastAsia="zh-CN"/>
              </w:rPr>
            </w:pPr>
          </w:p>
        </w:tc>
        <w:tc>
          <w:tcPr>
            <w:tcW w:w="906" w:type="dxa"/>
            <w:vAlign w:val="center"/>
          </w:tcPr>
          <w:p>
            <w:pPr>
              <w:pStyle w:val="21"/>
              <w:spacing w:line="240" w:lineRule="auto"/>
              <w:jc w:val="center"/>
              <w:rPr>
                <w:rFonts w:hint="eastAsia" w:ascii="方正仿宋_GB2312" w:hAnsi="方正仿宋_GB2312" w:eastAsia="方正仿宋_GB2312" w:cs="方正仿宋_GB2312"/>
                <w:sz w:val="24"/>
                <w:szCs w:val="24"/>
                <w:vertAlign w:val="baseline"/>
                <w:lang w:val="en-US" w:eastAsia="zh-CN"/>
              </w:rPr>
            </w:pPr>
          </w:p>
        </w:tc>
        <w:tc>
          <w:tcPr>
            <w:tcW w:w="830" w:type="dxa"/>
            <w:vAlign w:val="center"/>
          </w:tcPr>
          <w:p>
            <w:pPr>
              <w:pStyle w:val="21"/>
              <w:spacing w:line="240" w:lineRule="auto"/>
              <w:jc w:val="center"/>
              <w:rPr>
                <w:rFonts w:hint="eastAsia" w:ascii="方正仿宋_GB2312" w:hAnsi="方正仿宋_GB2312" w:eastAsia="方正仿宋_GB2312" w:cs="方正仿宋_GB2312"/>
                <w:sz w:val="24"/>
                <w:szCs w:val="24"/>
                <w:vertAlign w:val="baseline"/>
                <w:lang w:val="en-US" w:eastAsia="zh-CN"/>
              </w:rPr>
            </w:pPr>
          </w:p>
        </w:tc>
        <w:tc>
          <w:tcPr>
            <w:tcW w:w="966" w:type="dxa"/>
            <w:vAlign w:val="center"/>
          </w:tcPr>
          <w:p>
            <w:pPr>
              <w:pStyle w:val="21"/>
              <w:spacing w:line="240" w:lineRule="auto"/>
              <w:jc w:val="center"/>
              <w:rPr>
                <w:rFonts w:hint="eastAsia" w:ascii="方正仿宋_GB2312" w:hAnsi="方正仿宋_GB2312" w:eastAsia="方正仿宋_GB2312" w:cs="方正仿宋_GB2312"/>
                <w:sz w:val="24"/>
                <w:szCs w:val="24"/>
                <w:vertAlign w:val="baseline"/>
                <w:lang w:val="en-US" w:eastAsia="zh-CN"/>
              </w:rPr>
            </w:pPr>
          </w:p>
        </w:tc>
        <w:tc>
          <w:tcPr>
            <w:tcW w:w="957" w:type="dxa"/>
            <w:vAlign w:val="center"/>
          </w:tcPr>
          <w:p>
            <w:pPr>
              <w:pStyle w:val="21"/>
              <w:spacing w:line="240" w:lineRule="auto"/>
              <w:jc w:val="center"/>
              <w:rPr>
                <w:rFonts w:hint="eastAsia" w:ascii="方正仿宋_GB2312" w:hAnsi="方正仿宋_GB2312" w:eastAsia="方正仿宋_GB2312" w:cs="方正仿宋_GB2312"/>
                <w:sz w:val="24"/>
                <w:szCs w:val="24"/>
                <w:vertAlign w:val="baseline"/>
                <w:lang w:val="en-US" w:eastAsia="zh-CN"/>
              </w:rPr>
            </w:pPr>
          </w:p>
        </w:tc>
        <w:tc>
          <w:tcPr>
            <w:tcW w:w="2220" w:type="dxa"/>
            <w:vAlign w:val="center"/>
          </w:tcPr>
          <w:p>
            <w:pPr>
              <w:pStyle w:val="21"/>
              <w:spacing w:line="240" w:lineRule="auto"/>
              <w:jc w:val="center"/>
              <w:rPr>
                <w:rFonts w:hint="eastAsia" w:ascii="方正仿宋_GB2312" w:hAnsi="方正仿宋_GB2312" w:eastAsia="方正仿宋_GB2312" w:cs="方正仿宋_GB2312"/>
                <w:sz w:val="24"/>
                <w:szCs w:val="24"/>
                <w:vertAlign w:val="baseline"/>
                <w:lang w:val="en-US" w:eastAsia="zh-CN"/>
              </w:rPr>
            </w:pPr>
          </w:p>
        </w:tc>
      </w:tr>
    </w:tbl>
    <w:p>
      <w:pPr>
        <w:pStyle w:val="21"/>
        <w:spacing w:line="240" w:lineRule="auto"/>
        <w:ind w:left="0" w:leftChars="0" w:firstLine="320" w:firstLineChars="100"/>
        <w:rPr>
          <w:rFonts w:hint="eastAsia" w:ascii="方正仿宋_GB2312" w:hAnsi="方正仿宋_GB2312" w:eastAsia="方正仿宋_GB2312" w:cs="方正仿宋_GB2312"/>
          <w:sz w:val="32"/>
          <w:szCs w:val="32"/>
          <w:lang w:val="en-US" w:eastAsia="zh-CN"/>
        </w:rPr>
      </w:pPr>
    </w:p>
    <w:p>
      <w:pPr>
        <w:pStyle w:val="21"/>
        <w:spacing w:line="240" w:lineRule="auto"/>
        <w:ind w:left="0" w:leftChars="0" w:firstLine="0" w:firstLineChars="0"/>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考评人签字：</w:t>
      </w:r>
    </w:p>
    <w:p>
      <w:pPr>
        <w:pStyle w:val="21"/>
        <w:spacing w:line="240" w:lineRule="auto"/>
        <w:ind w:left="0" w:leftChars="0" w:firstLine="0" w:firstLineChars="0"/>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被考评人签字：</w:t>
      </w:r>
    </w:p>
    <w:p>
      <w:pPr>
        <w:pStyle w:val="21"/>
        <w:spacing w:line="240" w:lineRule="auto"/>
        <w:ind w:left="0" w:leftChars="0" w:firstLine="0" w:firstLineChars="0"/>
        <w:rPr>
          <w:rFonts w:hint="eastAsia" w:ascii="方正仿宋_GB2312" w:hAnsi="方正仿宋_GB2312" w:eastAsia="方正仿宋_GB2312" w:cs="方正仿宋_GB2312"/>
          <w:bCs/>
          <w:kern w:val="0"/>
          <w:sz w:val="32"/>
          <w:szCs w:val="32"/>
          <w:lang w:val="en-US" w:eastAsia="zh-CN"/>
        </w:rPr>
      </w:pPr>
      <w:r>
        <w:rPr>
          <w:rFonts w:hint="eastAsia" w:ascii="方正仿宋_GB2312" w:hAnsi="方正仿宋_GB2312" w:eastAsia="方正仿宋_GB2312" w:cs="方正仿宋_GB2312"/>
          <w:sz w:val="32"/>
          <w:szCs w:val="32"/>
          <w:lang w:val="en-US" w:eastAsia="zh-CN"/>
        </w:rPr>
        <w:t>XX年度X月维护服务考评结果：</w:t>
      </w:r>
      <w:r>
        <w:rPr>
          <w:rFonts w:hint="eastAsia" w:ascii="方正仿宋_GB2312" w:hAnsi="方正仿宋_GB2312" w:eastAsia="方正仿宋_GB2312" w:cs="方正仿宋_GB2312"/>
          <w:bCs/>
          <w:kern w:val="0"/>
          <w:sz w:val="32"/>
          <w:szCs w:val="32"/>
          <w:lang w:eastAsia="zh-CN"/>
        </w:rPr>
        <w:t>□</w:t>
      </w:r>
      <w:r>
        <w:rPr>
          <w:rFonts w:hint="eastAsia" w:ascii="方正仿宋_GB2312" w:hAnsi="方正仿宋_GB2312" w:eastAsia="方正仿宋_GB2312" w:cs="方正仿宋_GB2312"/>
          <w:sz w:val="32"/>
          <w:szCs w:val="32"/>
          <w:lang w:val="en-US" w:eastAsia="zh-CN"/>
        </w:rPr>
        <w:t>合格</w:t>
      </w:r>
      <w:r>
        <w:rPr>
          <w:rFonts w:hint="eastAsia" w:ascii="方正仿宋_GB2312" w:hAnsi="方正仿宋_GB2312" w:eastAsia="方正仿宋_GB2312" w:cs="方正仿宋_GB2312"/>
          <w:bCs/>
          <w:kern w:val="0"/>
          <w:sz w:val="32"/>
          <w:szCs w:val="32"/>
          <w:lang w:eastAsia="zh-CN"/>
        </w:rPr>
        <w:t>□</w:t>
      </w:r>
      <w:r>
        <w:rPr>
          <w:rFonts w:hint="eastAsia" w:ascii="方正仿宋_GB2312" w:hAnsi="方正仿宋_GB2312" w:eastAsia="方正仿宋_GB2312" w:cs="方正仿宋_GB2312"/>
          <w:bCs/>
          <w:kern w:val="0"/>
          <w:sz w:val="32"/>
          <w:szCs w:val="32"/>
          <w:lang w:val="en-US" w:eastAsia="zh-CN"/>
        </w:rPr>
        <w:t>不合格</w:t>
      </w:r>
    </w:p>
    <w:p>
      <w:pPr>
        <w:pStyle w:val="21"/>
        <w:spacing w:line="240" w:lineRule="auto"/>
        <w:ind w:firstLine="10240" w:firstLineChars="3200"/>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XX公司</w:t>
      </w:r>
    </w:p>
    <w:p>
      <w:pPr>
        <w:pStyle w:val="21"/>
        <w:spacing w:line="240" w:lineRule="auto"/>
        <w:ind w:left="0" w:leftChars="0" w:firstLine="0" w:firstLineChars="0"/>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XX年XX月XX日</w:t>
      </w:r>
    </w:p>
    <w:p>
      <w:pPr>
        <w:numPr>
          <w:ilvl w:val="0"/>
          <w:numId w:val="4"/>
        </w:numPr>
        <w:spacing w:line="240" w:lineRule="auto"/>
        <w:ind w:left="425" w:leftChars="0" w:hanging="425" w:firstLineChars="0"/>
        <w:rPr>
          <w:rFonts w:hint="eastAsia" w:ascii="方正仿宋_GB2312" w:hAnsi="方正仿宋_GB2312" w:eastAsia="方正仿宋_GB2312" w:cs="方正仿宋_GB2312"/>
          <w:color w:val="auto"/>
          <w:sz w:val="24"/>
          <w:szCs w:val="24"/>
          <w:lang w:val="zh-CN" w:eastAsia="zh-CN"/>
        </w:rPr>
      </w:pPr>
      <w:r>
        <w:rPr>
          <w:rFonts w:hint="eastAsia" w:ascii="方正仿宋_GB2312" w:hAnsi="方正仿宋_GB2312" w:eastAsia="方正仿宋_GB2312" w:cs="方正仿宋_GB2312"/>
          <w:color w:val="auto"/>
          <w:sz w:val="24"/>
          <w:szCs w:val="24"/>
          <w:lang w:val="en-US" w:eastAsia="zh-CN"/>
        </w:rPr>
        <w:t>其他</w:t>
      </w:r>
      <w:r>
        <w:rPr>
          <w:rFonts w:hint="eastAsia" w:ascii="方正仿宋_GB2312" w:hAnsi="方正仿宋_GB2312" w:eastAsia="方正仿宋_GB2312" w:cs="方正仿宋_GB2312"/>
          <w:color w:val="auto"/>
          <w:sz w:val="24"/>
          <w:szCs w:val="24"/>
          <w:lang w:val="zh-CN" w:eastAsia="zh-CN"/>
        </w:rPr>
        <w:t>要求</w:t>
      </w:r>
    </w:p>
    <w:p>
      <w:pPr>
        <w:pStyle w:val="23"/>
        <w:spacing w:afterLines="0" w:line="240" w:lineRule="auto"/>
        <w:ind w:left="0" w:leftChars="0" w:firstLine="0" w:firstLineChars="0"/>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（1）投标人在合同签订后30日内完成备件准备工作。</w:t>
      </w:r>
    </w:p>
    <w:p>
      <w:pPr>
        <w:numPr>
          <w:ilvl w:val="0"/>
          <w:numId w:val="0"/>
        </w:numPr>
        <w:spacing w:line="240" w:lineRule="auto"/>
        <w:jc w:val="left"/>
        <w:rPr>
          <w:rFonts w:hint="eastAsia" w:ascii="方正仿宋_GB2312" w:hAnsi="方正仿宋_GB2312" w:eastAsia="方正仿宋_GB2312" w:cs="方正仿宋_GB2312"/>
          <w:color w:val="auto"/>
          <w:sz w:val="24"/>
          <w:szCs w:val="24"/>
          <w:lang w:val="en-US" w:eastAsia="zh-CN"/>
        </w:rPr>
      </w:pPr>
      <w:r>
        <w:rPr>
          <w:rFonts w:hint="eastAsia" w:ascii="方正仿宋_GB2312" w:hAnsi="方正仿宋_GB2312" w:eastAsia="方正仿宋_GB2312" w:cs="方正仿宋_GB2312"/>
          <w:color w:val="auto"/>
          <w:sz w:val="24"/>
          <w:szCs w:val="24"/>
          <w:lang w:val="en-US" w:eastAsia="zh-CN"/>
        </w:rPr>
        <w:t>（2）维保工作期间要求全年无重大故障。</w:t>
      </w:r>
    </w:p>
    <w:p>
      <w:pPr>
        <w:numPr>
          <w:ilvl w:val="0"/>
          <w:numId w:val="0"/>
        </w:numPr>
        <w:spacing w:line="240" w:lineRule="auto"/>
        <w:jc w:val="left"/>
        <w:rPr>
          <w:rFonts w:hint="eastAsia" w:ascii="方正仿宋_GB2312" w:hAnsi="方正仿宋_GB2312" w:eastAsia="方正仿宋_GB2312" w:cs="方正仿宋_GB2312"/>
          <w:color w:val="auto"/>
          <w:sz w:val="24"/>
          <w:szCs w:val="24"/>
          <w:lang w:val="en-US" w:eastAsia="zh-CN"/>
        </w:rPr>
      </w:pPr>
    </w:p>
    <w:p>
      <w:pPr>
        <w:numPr>
          <w:ilvl w:val="0"/>
          <w:numId w:val="0"/>
        </w:numPr>
        <w:spacing w:before="218" w:line="357" w:lineRule="auto"/>
        <w:ind w:left="679" w:leftChars="0" w:right="14" w:rightChars="0"/>
        <w:rPr>
          <w:rFonts w:hint="eastAsia" w:ascii="方正仿宋_GB2312" w:hAnsi="方正仿宋_GB2312" w:eastAsia="方正仿宋_GB2312" w:cs="方正仿宋_GB2312"/>
          <w:spacing w:val="8"/>
          <w:sz w:val="44"/>
          <w:szCs w:val="44"/>
          <w:lang w:eastAsia="zh-CN"/>
        </w:rPr>
      </w:pPr>
      <w:r>
        <w:rPr>
          <w:rFonts w:hint="eastAsia" w:ascii="方正仿宋_GB2312" w:hAnsi="方正仿宋_GB2312" w:eastAsia="方正仿宋_GB2312" w:cs="方正仿宋_GB2312"/>
          <w:sz w:val="32"/>
          <w:szCs w:val="32"/>
          <w:lang w:val="en-US" w:eastAsia="zh-CN"/>
        </w:rPr>
        <w:t>以上带有“★”的技术要求项目必须完全满足招标要求，不能有负偏离，否则视为无效投标。</w:t>
      </w:r>
    </w:p>
    <w:p>
      <w:pPr>
        <w:numPr>
          <w:ilvl w:val="0"/>
          <w:numId w:val="0"/>
        </w:numPr>
        <w:spacing w:before="218" w:line="357" w:lineRule="auto"/>
        <w:ind w:left="679" w:leftChars="0" w:right="14" w:rightChars="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hint="eastAsia" w:ascii="方正仿宋_GB2312" w:hAnsi="方正仿宋_GB2312" w:eastAsia="方正仿宋_GB2312" w:cs="方正仿宋_GB2312"/>
          <w:sz w:val="24"/>
          <w:szCs w:val="22"/>
          <w:lang w:val="en-US" w:eastAsia="zh-CN"/>
        </w:rPr>
        <w:t>★</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（一）服务要求及验收</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1、维保时间从签订合同之日起算，共计三年时间，合同一年一签，维保服务质量好且考核合格后再续签下一年度的合同。供应商应在合同签订完成后，在采购人指定地点提供维保服务。</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2、验收由采购人组织，供应商配合进行：</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在该项目达到合同约定的验收条件后，标准应按照国家的相关规定要求（财政部关于进一步加强政府采购需求和履约验收管理的指导意见（财库【2016】205号）、市政务服务管理局《关于规范政务信息化项目建设方案编制审核验收管理工作的函》（绵政监函【2020】81号）、《绵阳市财政局关于进一步做好政府采购项目履约验收工作的通知》(绵财采〔2021〕15号)的要求）进行验收。</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（二）付款方式</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1.签订合同满半年后，供应商通过考评打分，服务态度为合格时，采购人收到供应商通知、正规发票、合同复印件、维保相关记录等相关资料后，在30个工作日内支付合同总金额的50%。</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签订合同满一年后，供应商通过考评打分，服务态度为合格时，采购人收到供应商通知、正规发票、合同复印件、维保相关记录等相关资料后，在30个工作日内支付合同总金额的50%。</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3.第二年、第三年付款方式不变。</w:t>
      </w:r>
    </w:p>
    <w:p>
      <w:pPr>
        <w:spacing w:line="240" w:lineRule="auto"/>
        <w:ind w:firstLine="560" w:firstLineChars="200"/>
        <w:jc w:val="left"/>
        <w:rPr>
          <w:rFonts w:hint="eastAsia" w:ascii="方正仿宋_GB2312" w:hAnsi="方正仿宋_GB2312" w:eastAsia="方正仿宋_GB2312" w:cs="方正仿宋_GB2312"/>
          <w:sz w:val="28"/>
          <w:szCs w:val="28"/>
          <w:lang w:val="en-US" w:eastAsia="zh-CN"/>
        </w:rPr>
      </w:pPr>
      <w:r>
        <w:rPr>
          <w:rFonts w:hint="eastAsia" w:ascii="方正仿宋_GB2312" w:hAnsi="方正仿宋_GB2312" w:eastAsia="方正仿宋_GB2312" w:cs="方正仿宋_GB2312"/>
          <w:sz w:val="28"/>
          <w:szCs w:val="28"/>
          <w:lang w:val="en-US" w:eastAsia="zh-CN"/>
        </w:rPr>
        <w:t>供应商通过考评打分，考评结果为不合格时，应按照采购人要求在指定的时间内及时进行整改，如没有达到采购人的要求，可根据供应商维保服务情况认定为：维保服务考评不合格，不予支付当年的维保费，直至达到维保服务达到合格为止，才继续支付维保费用。</w:t>
      </w:r>
    </w:p>
    <w:p>
      <w:pPr>
        <w:numPr>
          <w:ilvl w:val="0"/>
          <w:numId w:val="0"/>
        </w:numPr>
        <w:spacing w:before="218" w:line="357" w:lineRule="auto"/>
        <w:ind w:left="679" w:leftChars="0" w:right="14" w:rightChars="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三、响应文件内容</w:t>
      </w:r>
    </w:p>
    <w:p>
      <w:pPr>
        <w:pStyle w:val="15"/>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1、响应文件封面。</w:t>
      </w:r>
    </w:p>
    <w:p>
      <w:pPr>
        <w:pStyle w:val="15"/>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2、提供有效的《营业执照》、《税务登记证》、《组织机构代码证》或三证合一的《营业执照》。</w:t>
      </w:r>
    </w:p>
    <w:p>
      <w:pPr>
        <w:pStyle w:val="15"/>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3、法人</w:t>
      </w:r>
      <w:bookmarkStart w:id="31" w:name="_GoBack"/>
      <w:bookmarkEnd w:id="31"/>
      <w:r>
        <w:rPr>
          <w:rFonts w:hint="eastAsia" w:ascii="仿宋" w:hAnsi="仿宋" w:eastAsia="仿宋" w:cs="仿宋"/>
          <w:snapToGrid w:val="0"/>
          <w:color w:val="000000"/>
          <w:spacing w:val="8"/>
          <w:kern w:val="0"/>
          <w:sz w:val="31"/>
          <w:szCs w:val="31"/>
          <w:lang w:val="en-US" w:eastAsia="zh-CN" w:bidi="ar-SA"/>
        </w:rPr>
        <w:t>的授权书、法人和授权代表身份证复印件。</w:t>
      </w:r>
    </w:p>
    <w:p>
      <w:pPr>
        <w:pStyle w:val="15"/>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4、报价函。</w:t>
      </w:r>
    </w:p>
    <w:p>
      <w:pPr>
        <w:pStyle w:val="15"/>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5、技术、商务、服务要求响应表。</w:t>
      </w:r>
    </w:p>
    <w:p>
      <w:pPr>
        <w:pStyle w:val="15"/>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6、商务要求承诺函。</w:t>
      </w:r>
    </w:p>
    <w:p>
      <w:pPr>
        <w:pStyle w:val="15"/>
        <w:ind w:firstLine="652" w:firstLineChars="200"/>
        <w:rPr>
          <w:rFonts w:hint="default"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7、维保方案</w:t>
      </w:r>
    </w:p>
    <w:p>
      <w:pPr>
        <w:pStyle w:val="15"/>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5"/>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lang w:eastAsia="zh-CN"/>
        </w:rPr>
        <w:t>1、项目咨询：沈</w:t>
      </w:r>
      <w:r>
        <w:rPr>
          <w:rFonts w:hint="eastAsia" w:ascii="仿宋" w:hAnsi="仿宋" w:eastAsia="仿宋" w:cs="仿宋"/>
          <w:spacing w:val="2"/>
          <w:sz w:val="31"/>
          <w:szCs w:val="31"/>
          <w:lang w:val="en-US" w:eastAsia="zh-CN"/>
        </w:rPr>
        <w:t>老师   15984604404</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eastAsia="zh-CN"/>
        </w:rPr>
        <w:t>尹</w:t>
      </w:r>
      <w:r>
        <w:rPr>
          <w:rFonts w:hint="eastAsia" w:ascii="仿宋" w:hAnsi="仿宋" w:eastAsia="仿宋" w:cs="仿宋"/>
          <w:spacing w:val="2"/>
          <w:sz w:val="31"/>
          <w:szCs w:val="31"/>
        </w:rPr>
        <w:t>老师    18081208357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8"/>
        <w:spacing w:before="240" w:beforeLines="100" w:after="120" w:afterLines="50"/>
        <w:ind w:firstLine="922" w:firstLineChars="255"/>
        <w:rPr>
          <w:rFonts w:ascii="宋体" w:hAnsi="宋体" w:eastAsia="宋体" w:cs="宋体"/>
          <w:b/>
          <w:bCs/>
          <w:sz w:val="36"/>
          <w:szCs w:val="36"/>
        </w:rPr>
      </w:pPr>
    </w:p>
    <w:p>
      <w:pPr>
        <w:pStyle w:val="18"/>
        <w:spacing w:before="240" w:beforeLines="100" w:after="120" w:afterLines="50"/>
        <w:ind w:firstLine="922" w:firstLineChars="255"/>
        <w:rPr>
          <w:rFonts w:ascii="宋体" w:hAnsi="宋体" w:eastAsia="宋体" w:cs="宋体"/>
          <w:b/>
          <w:bCs/>
          <w:sz w:val="36"/>
          <w:szCs w:val="36"/>
        </w:rPr>
      </w:pPr>
    </w:p>
    <w:p>
      <w:pPr>
        <w:pStyle w:val="18"/>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8"/>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6"/>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pStyle w:val="3"/>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6"/>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keepNext/>
        <w:keepLines/>
        <w:spacing w:before="260" w:after="260" w:line="400" w:lineRule="exact"/>
        <w:jc w:val="center"/>
        <w:outlineLvl w:val="1"/>
        <w:rPr>
          <w:rFonts w:hAnsi="宋体"/>
          <w:b/>
          <w:color w:val="000000"/>
          <w:sz w:val="28"/>
          <w:szCs w:val="28"/>
        </w:rPr>
      </w:pPr>
      <w:bookmarkStart w:id="1" w:name="_Toc443397363"/>
      <w:bookmarkStart w:id="2" w:name="_Toc482266098"/>
      <w:bookmarkStart w:id="3" w:name="_Toc87974341"/>
      <w:bookmarkStart w:id="4" w:name="_Toc13563815"/>
      <w:bookmarkStart w:id="5" w:name="_Toc11832062"/>
      <w:r>
        <w:rPr>
          <w:rFonts w:hint="eastAsia" w:hAnsi="宋体"/>
          <w:b/>
          <w:color w:val="000000"/>
          <w:sz w:val="28"/>
          <w:szCs w:val="28"/>
        </w:rPr>
        <w:t>技术、服务响应表</w:t>
      </w:r>
      <w:bookmarkEnd w:id="1"/>
      <w:bookmarkEnd w:id="2"/>
      <w:bookmarkEnd w:id="3"/>
      <w:bookmarkEnd w:id="4"/>
      <w:bookmarkEnd w:id="5"/>
    </w:p>
    <w:tbl>
      <w:tblPr>
        <w:tblStyle w:val="12"/>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bl>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3、供应商必须据实填写，不得虚假响应，否则将取消其投标或成交资格，并按有关规定进行处罚。</w:t>
      </w:r>
    </w:p>
    <w:p>
      <w:pPr>
        <w:adjustRightInd w:val="0"/>
        <w:spacing w:line="400" w:lineRule="exact"/>
        <w:ind w:firstLine="512" w:firstLineChars="200"/>
        <w:rPr>
          <w:rFonts w:hAnsi="宋体"/>
          <w:bCs/>
          <w:color w:val="000000"/>
          <w:spacing w:val="8"/>
          <w:sz w:val="24"/>
        </w:rPr>
      </w:pPr>
    </w:p>
    <w:p>
      <w:pPr>
        <w:adjustRightInd w:val="0"/>
        <w:spacing w:line="400" w:lineRule="exact"/>
        <w:ind w:firstLine="512" w:firstLineChars="200"/>
        <w:rPr>
          <w:rFonts w:hAnsi="宋体"/>
          <w:bCs/>
          <w:color w:val="000000"/>
          <w:spacing w:val="8"/>
          <w:sz w:val="24"/>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日期：      年      月     日</w:t>
      </w:r>
    </w:p>
    <w:p>
      <w:r>
        <w:br w:type="page"/>
      </w:r>
    </w:p>
    <w:p>
      <w:pPr>
        <w:spacing w:before="217" w:line="224" w:lineRule="auto"/>
        <w:ind w:left="133"/>
        <w:rPr>
          <w:rFonts w:hint="eastAsia" w:ascii="仿宋" w:hAnsi="仿宋" w:eastAsia="仿宋" w:cs="仿宋"/>
          <w:b/>
          <w:bCs/>
          <w:spacing w:val="8"/>
          <w:sz w:val="31"/>
          <w:szCs w:val="31"/>
        </w:rPr>
      </w:pPr>
      <w:bookmarkStart w:id="6" w:name="_Toc87974343"/>
      <w:r>
        <w:rPr>
          <w:rFonts w:hint="eastAsia" w:ascii="仿宋" w:hAnsi="仿宋" w:eastAsia="仿宋" w:cs="仿宋"/>
          <w:b/>
          <w:bCs/>
          <w:spacing w:val="8"/>
          <w:sz w:val="31"/>
          <w:szCs w:val="31"/>
        </w:rPr>
        <w:t>第三部分  商务</w:t>
      </w:r>
      <w:bookmarkEnd w:id="6"/>
    </w:p>
    <w:p>
      <w:pPr>
        <w:spacing w:before="217" w:line="224" w:lineRule="auto"/>
        <w:ind w:left="133"/>
        <w:jc w:val="center"/>
        <w:rPr>
          <w:rFonts w:hint="eastAsia" w:ascii="仿宋" w:hAnsi="仿宋" w:eastAsia="仿宋" w:cs="仿宋"/>
          <w:b/>
          <w:bCs/>
          <w:spacing w:val="8"/>
          <w:sz w:val="31"/>
          <w:szCs w:val="31"/>
        </w:rPr>
      </w:pPr>
      <w:bookmarkStart w:id="7" w:name="_Toc13563872"/>
      <w:bookmarkStart w:id="8" w:name="_Toc482266101"/>
      <w:bookmarkStart w:id="9" w:name="_Toc11764032"/>
      <w:bookmarkStart w:id="10" w:name="_Toc443397365"/>
      <w:r>
        <w:rPr>
          <w:rFonts w:hint="eastAsia" w:ascii="仿宋" w:hAnsi="仿宋" w:eastAsia="仿宋" w:cs="仿宋"/>
          <w:b/>
          <w:bCs/>
          <w:spacing w:val="8"/>
          <w:sz w:val="31"/>
          <w:szCs w:val="31"/>
        </w:rPr>
        <w:t>商务应答表</w:t>
      </w:r>
      <w:bookmarkEnd w:id="7"/>
      <w:bookmarkEnd w:id="8"/>
      <w:bookmarkEnd w:id="9"/>
      <w:bookmarkEnd w:id="10"/>
    </w:p>
    <w:tbl>
      <w:tblPr>
        <w:tblStyle w:val="12"/>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bl>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ab/>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br w:type="page"/>
      </w: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bookmarkStart w:id="11" w:name="_Toc11764036"/>
      <w:bookmarkStart w:id="12" w:name="_Toc1356387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1"/>
      <w:bookmarkEnd w:id="12"/>
      <w:r>
        <w:rPr>
          <w:rFonts w:hint="eastAsia" w:ascii="仿宋" w:hAnsi="仿宋" w:eastAsia="仿宋" w:cs="仿宋"/>
          <w:b/>
          <w:bCs/>
          <w:spacing w:val="8"/>
          <w:sz w:val="31"/>
          <w:szCs w:val="31"/>
        </w:rPr>
        <w:t>能力的承诺书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bookmarkStart w:id="13" w:name="_Toc13563877"/>
      <w:bookmarkStart w:id="14" w:name="_Toc1176403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3"/>
      <w:bookmarkEnd w:id="14"/>
      <w:r>
        <w:rPr>
          <w:rFonts w:hint="eastAsia" w:ascii="仿宋" w:hAnsi="仿宋" w:eastAsia="仿宋" w:cs="仿宋"/>
          <w:b/>
          <w:bCs/>
          <w:spacing w:val="8"/>
          <w:sz w:val="31"/>
          <w:szCs w:val="31"/>
        </w:rPr>
        <w:t>记录的承诺书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bookmarkStart w:id="15" w:name="_Toc13563878"/>
      <w:bookmarkStart w:id="16" w:name="_Toc1176403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5"/>
      <w:bookmarkEnd w:id="16"/>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特此声明。</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rPr>
          <w:rFonts w:hint="eastAsia" w:ascii="仿宋" w:hAnsi="仿宋" w:eastAsia="仿宋" w:cs="仿宋"/>
          <w:spacing w:val="8"/>
          <w:sz w:val="31"/>
          <w:szCs w:val="31"/>
        </w:rPr>
      </w:pPr>
      <w:bookmarkStart w:id="17" w:name="_Toc11231749"/>
      <w:bookmarkStart w:id="18" w:name="_Toc479755777"/>
      <w:bookmarkStart w:id="19" w:name="_Toc13563879"/>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制造商家或代理商授权书（如涉及）</w:t>
      </w:r>
      <w:bookmarkEnd w:id="17"/>
      <w:bookmarkEnd w:id="18"/>
      <w:bookmarkEnd w:id="19"/>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授权期限：</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rPr>
          <w:rFonts w:hint="eastAsia" w:ascii="仿宋" w:hAnsi="仿宋" w:eastAsia="仿宋" w:cs="仿宋"/>
          <w:spacing w:val="8"/>
          <w:sz w:val="31"/>
          <w:szCs w:val="31"/>
        </w:rPr>
      </w:pPr>
      <w:bookmarkStart w:id="20" w:name="_Toc13563880"/>
      <w:bookmarkStart w:id="21" w:name="_Toc11764039"/>
      <w:r>
        <w:rPr>
          <w:rFonts w:hint="eastAsia" w:ascii="仿宋" w:hAnsi="仿宋" w:eastAsia="仿宋" w:cs="仿宋"/>
          <w:spacing w:val="8"/>
          <w:sz w:val="31"/>
          <w:szCs w:val="31"/>
        </w:rPr>
        <w:br w:type="page"/>
      </w: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20"/>
      <w:bookmarkEnd w:id="21"/>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特此声明。</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bookmarkStart w:id="22" w:name="_Toc13563881"/>
      <w:bookmarkStart w:id="23" w:name="_Toc11764040"/>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br w:type="page"/>
      </w: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2"/>
      <w:bookmarkEnd w:id="23"/>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      期：      年    月    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spacing w:val="8"/>
          <w:sz w:val="31"/>
          <w:szCs w:val="31"/>
        </w:rPr>
      </w:pPr>
      <w:bookmarkStart w:id="24" w:name="_Toc11764041"/>
      <w:bookmarkStart w:id="25" w:name="_Toc13563882"/>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4"/>
      <w:bookmarkEnd w:id="25"/>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      期：      年    月    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spacing w:val="8"/>
          <w:sz w:val="31"/>
          <w:szCs w:val="31"/>
        </w:rPr>
      </w:pPr>
      <w:bookmarkStart w:id="26" w:name="_Toc443397367"/>
      <w:bookmarkStart w:id="27" w:name="_Toc443393358"/>
      <w:bookmarkStart w:id="28" w:name="_Toc482266104"/>
      <w:bookmarkStart w:id="29" w:name="_Toc11764042"/>
      <w:bookmarkStart w:id="30" w:name="_Toc13563883"/>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供应商基本情况表</w:t>
      </w:r>
      <w:bookmarkEnd w:id="26"/>
      <w:bookmarkEnd w:id="27"/>
      <w:bookmarkEnd w:id="28"/>
      <w:bookmarkEnd w:id="29"/>
      <w:bookmarkEnd w:id="30"/>
    </w:p>
    <w:tbl>
      <w:tblPr>
        <w:tblStyle w:val="12"/>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before="217" w:line="224" w:lineRule="auto"/>
              <w:ind w:left="133"/>
              <w:rPr>
                <w:rFonts w:hint="eastAsia" w:ascii="仿宋" w:hAnsi="仿宋" w:eastAsia="仿宋" w:cs="仿宋"/>
                <w:spacing w:val="8"/>
                <w:sz w:val="24"/>
                <w:szCs w:val="24"/>
              </w:rPr>
            </w:pPr>
          </w:p>
        </w:tc>
      </w:tr>
    </w:tbl>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供应商名称：        （盖章）</w:t>
      </w:r>
    </w:p>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法定代表人或授权代表（签字或盖章）：</w:t>
      </w:r>
    </w:p>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24"/>
          <w:szCs w:val="24"/>
        </w:rPr>
        <w:t>日期：      年      月     日</w:t>
      </w: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F72097F-E0E5-4520-A9EF-13716713134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à.ā">
    <w:altName w:val="宋体"/>
    <w:panose1 w:val="00000000000000000000"/>
    <w:charset w:val="86"/>
    <w:family w:val="decorative"/>
    <w:pitch w:val="default"/>
    <w:sig w:usb0="00000000" w:usb1="00000000" w:usb2="00000010" w:usb3="00000000" w:csb0="00040000" w:csb1="00000000"/>
  </w:font>
  <w:font w:name="FangSong_GB2312">
    <w:altName w:val="仿宋"/>
    <w:panose1 w:val="0201060906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029C3C9F-F283-4D9A-9F30-DC1F12ABF96B}"/>
  </w:font>
  <w:font w:name="仿宋">
    <w:panose1 w:val="02010609060101010101"/>
    <w:charset w:val="86"/>
    <w:family w:val="modern"/>
    <w:pitch w:val="default"/>
    <w:sig w:usb0="800002BF" w:usb1="38CF7CFA" w:usb2="00000016" w:usb3="00000000" w:csb0="00040001" w:csb1="00000000"/>
    <w:embedRegular r:id="rId3" w:fontKey="{8FE0F417-037F-4C22-B6E1-C3C2AE334AF2}"/>
  </w:font>
  <w:font w:name="方正仿宋_GB2312">
    <w:panose1 w:val="02000000000000000000"/>
    <w:charset w:val="86"/>
    <w:family w:val="auto"/>
    <w:pitch w:val="default"/>
    <w:sig w:usb0="A00002BF" w:usb1="184F6CFA" w:usb2="00000012" w:usb3="00000000" w:csb0="00040001" w:csb1="00000000"/>
    <w:embedRegular r:id="rId4" w:fontKey="{06C5ADBD-237D-433D-91B8-FC7CA4D45CE4}"/>
  </w:font>
  <w:font w:name="Arial Unicode MS">
    <w:panose1 w:val="020B0604020202020204"/>
    <w:charset w:val="86"/>
    <w:family w:val="swiss"/>
    <w:pitch w:val="default"/>
    <w:sig w:usb0="FFFFFFFF" w:usb1="E9FFFFFF" w:usb2="0000003F" w:usb3="00000000" w:csb0="603F01FF" w:csb1="FFFF0000"/>
    <w:embedRegular r:id="rId5" w:fontKey="{80DF5B49-4115-4266-A671-671AB0F4BC0D}"/>
  </w:font>
  <w:font w:name="MS PGothic">
    <w:panose1 w:val="020B0600070205080204"/>
    <w:charset w:val="80"/>
    <w:family w:val="auto"/>
    <w:pitch w:val="default"/>
    <w:sig w:usb0="E00002FF" w:usb1="6AC7FDFB" w:usb2="08000012" w:usb3="00000000" w:csb0="4002009F" w:csb1="DFD70000"/>
  </w:font>
  <w:font w:name="Arial">
    <w:panose1 w:val="020B0604020202020204"/>
    <w:charset w:val="00"/>
    <w:family w:val="auto"/>
    <w:pitch w:val="default"/>
    <w:sig w:usb0="E0002EFF" w:usb1="C000785B" w:usb2="00000009" w:usb3="00000000" w:csb0="400001FF" w:csb1="FFFF0000"/>
  </w:font>
  <w:font w:name="Microsoft YaHei UI Light">
    <w:panose1 w:val="020B0502040204020203"/>
    <w:charset w:val="86"/>
    <w:family w:val="auto"/>
    <w:pitch w:val="default"/>
    <w:sig w:usb0="80000287" w:usb1="2ACF001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626B54"/>
    <w:multiLevelType w:val="singleLevel"/>
    <w:tmpl w:val="B3626B54"/>
    <w:lvl w:ilvl="0" w:tentative="0">
      <w:start w:val="1"/>
      <w:numFmt w:val="decimal"/>
      <w:lvlText w:val="%1."/>
      <w:lvlJc w:val="left"/>
      <w:pPr>
        <w:ind w:left="425" w:hanging="425"/>
      </w:pPr>
      <w:rPr>
        <w:rFonts w:hint="default"/>
      </w:rPr>
    </w:lvl>
  </w:abstractNum>
  <w:abstractNum w:abstractNumId="1">
    <w:nsid w:val="EDD334F0"/>
    <w:multiLevelType w:val="singleLevel"/>
    <w:tmpl w:val="EDD334F0"/>
    <w:lvl w:ilvl="0" w:tentative="0">
      <w:start w:val="1"/>
      <w:numFmt w:val="decimalEnclosedCircleChinese"/>
      <w:suff w:val="nothing"/>
      <w:lvlText w:val="%1　"/>
      <w:lvlJc w:val="left"/>
      <w:pPr>
        <w:ind w:left="0" w:firstLine="400"/>
      </w:pPr>
      <w:rPr>
        <w:rFonts w:hint="eastAsia"/>
      </w:rPr>
    </w:lvl>
  </w:abstractNum>
  <w:abstractNum w:abstractNumId="2">
    <w:nsid w:val="17780F59"/>
    <w:multiLevelType w:val="singleLevel"/>
    <w:tmpl w:val="17780F59"/>
    <w:lvl w:ilvl="0" w:tentative="0">
      <w:start w:val="1"/>
      <w:numFmt w:val="chineseCounting"/>
      <w:suff w:val="nothing"/>
      <w:lvlText w:val="（%1）"/>
      <w:lvlJc w:val="left"/>
      <w:rPr>
        <w:rFonts w:hint="eastAsia"/>
      </w:rPr>
    </w:lvl>
  </w:abstractNum>
  <w:abstractNum w:abstractNumId="3">
    <w:nsid w:val="1F13C152"/>
    <w:multiLevelType w:val="singleLevel"/>
    <w:tmpl w:val="1F13C152"/>
    <w:lvl w:ilvl="0" w:tentative="0">
      <w:start w:val="1"/>
      <w:numFmt w:val="chineseCounting"/>
      <w:suff w:val="nothing"/>
      <w:lvlText w:val="%1、"/>
      <w:lvlJc w:val="left"/>
      <w:rPr>
        <w:rFonts w:hint="eastAsia"/>
      </w:rPr>
    </w:lvl>
  </w:abstractNum>
  <w:abstractNum w:abstractNumId="4">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jODNlNzY2NmNhM2U4ZTNjZTBhNWM4MGM4NDU2ZTA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C837F5"/>
    <w:rsid w:val="098B4DA5"/>
    <w:rsid w:val="0B3D5B6A"/>
    <w:rsid w:val="111B1463"/>
    <w:rsid w:val="1E500961"/>
    <w:rsid w:val="201725C8"/>
    <w:rsid w:val="2CB63FA3"/>
    <w:rsid w:val="317B3E11"/>
    <w:rsid w:val="35636275"/>
    <w:rsid w:val="39D53981"/>
    <w:rsid w:val="3A6927DD"/>
    <w:rsid w:val="3B817F35"/>
    <w:rsid w:val="3BBE3857"/>
    <w:rsid w:val="42160A18"/>
    <w:rsid w:val="42EF553D"/>
    <w:rsid w:val="434165BD"/>
    <w:rsid w:val="4E6879C7"/>
    <w:rsid w:val="4FA976E5"/>
    <w:rsid w:val="58E42340"/>
    <w:rsid w:val="5C33726B"/>
    <w:rsid w:val="6F216A05"/>
    <w:rsid w:val="73D42465"/>
    <w:rsid w:val="77261ABF"/>
    <w:rsid w:val="79FB79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rPr>
      <w:szCs w:val="20"/>
    </w:rPr>
  </w:style>
  <w:style w:type="paragraph" w:styleId="5">
    <w:name w:val="Body Text"/>
    <w:basedOn w:val="1"/>
    <w:next w:val="6"/>
    <w:qFormat/>
    <w:uiPriority w:val="0"/>
    <w:pPr>
      <w:jc w:val="center"/>
    </w:pPr>
    <w:rPr>
      <w:rFonts w:eastAsia="黑体"/>
      <w:sz w:val="44"/>
      <w:szCs w:val="21"/>
    </w:rPr>
  </w:style>
  <w:style w:type="paragraph" w:styleId="6">
    <w:name w:val="Body Text First Indent"/>
    <w:basedOn w:val="5"/>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Body Text Indent"/>
    <w:basedOn w:val="1"/>
    <w:next w:val="8"/>
    <w:qFormat/>
    <w:uiPriority w:val="0"/>
    <w:pPr>
      <w:ind w:firstLine="630"/>
    </w:pPr>
    <w:rPr>
      <w:sz w:val="32"/>
      <w:szCs w:val="20"/>
    </w:rPr>
  </w:style>
  <w:style w:type="paragraph" w:customStyle="1" w:styleId="8">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paragraph" w:styleId="9">
    <w:name w:val="footer"/>
    <w:basedOn w:val="1"/>
    <w:link w:val="20"/>
    <w:qFormat/>
    <w:uiPriority w:val="0"/>
    <w:pPr>
      <w:tabs>
        <w:tab w:val="center" w:pos="4153"/>
        <w:tab w:val="right" w:pos="8306"/>
      </w:tabs>
    </w:pPr>
    <w:rPr>
      <w:sz w:val="18"/>
      <w:szCs w:val="18"/>
    </w:rPr>
  </w:style>
  <w:style w:type="paragraph" w:styleId="10">
    <w:name w:val="header"/>
    <w:basedOn w:val="1"/>
    <w:link w:val="19"/>
    <w:qFormat/>
    <w:uiPriority w:val="0"/>
    <w:pPr>
      <w:pBdr>
        <w:bottom w:val="single" w:color="auto" w:sz="6" w:space="1"/>
      </w:pBdr>
      <w:tabs>
        <w:tab w:val="center" w:pos="4153"/>
        <w:tab w:val="right" w:pos="8306"/>
      </w:tabs>
      <w:jc w:val="center"/>
    </w:pPr>
    <w:rPr>
      <w:sz w:val="18"/>
      <w:szCs w:val="18"/>
    </w:rPr>
  </w:style>
  <w:style w:type="paragraph" w:styleId="11">
    <w:name w:val="Body Text First Indent 2"/>
    <w:basedOn w:val="7"/>
    <w:next w:val="1"/>
    <w:unhideWhenUsed/>
    <w:qFormat/>
    <w:uiPriority w:val="99"/>
    <w:pPr>
      <w:ind w:firstLine="880" w:firstLineChars="200"/>
    </w:pPr>
    <w:rPr>
      <w:rFonts w:eastAsia="仿宋_GB2312"/>
      <w:szCs w:val="22"/>
    </w:rPr>
  </w:style>
  <w:style w:type="table" w:styleId="13">
    <w:name w:val="Table Grid"/>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
    <w:name w:val="Default"/>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6">
    <w:name w:val="Table Normal"/>
    <w:semiHidden/>
    <w:unhideWhenUsed/>
    <w:qFormat/>
    <w:uiPriority w:val="0"/>
    <w:tblPr>
      <w:tblCellMar>
        <w:top w:w="0" w:type="dxa"/>
        <w:left w:w="0" w:type="dxa"/>
        <w:bottom w:w="0" w:type="dxa"/>
        <w:right w:w="0" w:type="dxa"/>
      </w:tblCellMar>
    </w:tblPr>
  </w:style>
  <w:style w:type="paragraph" w:customStyle="1" w:styleId="17">
    <w:name w:val="列出段落1"/>
    <w:basedOn w:val="1"/>
    <w:qFormat/>
    <w:uiPriority w:val="34"/>
    <w:pPr>
      <w:ind w:firstLine="420" w:firstLineChars="200"/>
    </w:pPr>
  </w:style>
  <w:style w:type="paragraph" w:customStyle="1" w:styleId="18">
    <w:name w:val="GW-正文"/>
    <w:basedOn w:val="1"/>
    <w:qFormat/>
    <w:uiPriority w:val="0"/>
    <w:pPr>
      <w:spacing w:line="360" w:lineRule="auto"/>
      <w:ind w:firstLine="200" w:firstLineChars="200"/>
    </w:pPr>
    <w:rPr>
      <w:rFonts w:ascii="仿宋_GB2312" w:hAnsi="仿宋_GB2312" w:eastAsia="仿宋_GB2312" w:cstheme="minorBidi"/>
      <w:sz w:val="24"/>
    </w:rPr>
  </w:style>
  <w:style w:type="character" w:customStyle="1" w:styleId="19">
    <w:name w:val="页眉 字符"/>
    <w:basedOn w:val="14"/>
    <w:link w:val="10"/>
    <w:qFormat/>
    <w:uiPriority w:val="0"/>
    <w:rPr>
      <w:rFonts w:ascii="Arial" w:hAnsi="Arial" w:eastAsia="Arial" w:cs="Arial"/>
      <w:snapToGrid w:val="0"/>
      <w:color w:val="000000"/>
      <w:sz w:val="18"/>
      <w:szCs w:val="18"/>
    </w:rPr>
  </w:style>
  <w:style w:type="character" w:customStyle="1" w:styleId="20">
    <w:name w:val="页脚 字符"/>
    <w:basedOn w:val="14"/>
    <w:link w:val="9"/>
    <w:qFormat/>
    <w:uiPriority w:val="0"/>
    <w:rPr>
      <w:rFonts w:ascii="Arial" w:hAnsi="Arial" w:eastAsia="Arial" w:cs="Arial"/>
      <w:snapToGrid w:val="0"/>
      <w:color w:val="000000"/>
      <w:sz w:val="18"/>
      <w:szCs w:val="18"/>
    </w:rPr>
  </w:style>
  <w:style w:type="paragraph" w:styleId="21">
    <w:name w:val="List Paragraph"/>
    <w:basedOn w:val="1"/>
    <w:qFormat/>
    <w:uiPriority w:val="99"/>
    <w:pPr>
      <w:ind w:firstLine="420" w:firstLineChars="200"/>
    </w:pPr>
  </w:style>
  <w:style w:type="paragraph" w:styleId="2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customStyle="1" w:styleId="23">
    <w:name w:val="我的正文"/>
    <w:basedOn w:val="1"/>
    <w:qFormat/>
    <w:uiPriority w:val="0"/>
    <w:pPr>
      <w:spacing w:afterLines="100" w:line="360" w:lineRule="auto"/>
      <w:ind w:firstLine="480" w:firstLineChars="200"/>
    </w:pPr>
    <w:rPr>
      <w:rFonts w:eastAsia="FangSong_GB2312"/>
      <w:kern w:val="0"/>
      <w:sz w:val="24"/>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232</Words>
  <Characters>1323</Characters>
  <Lines>11</Lines>
  <Paragraphs>3</Paragraphs>
  <TotalTime>2</TotalTime>
  <ScaleCrop>false</ScaleCrop>
  <LinksUpToDate>false</LinksUpToDate>
  <CharactersWithSpaces>1552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2023-11-15T03:20:49Z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7624AA398FCA48B29EDE13EC3913FCAA_12</vt:lpwstr>
  </property>
</Properties>
</file>