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颅内压监测仪等一批设备</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127</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 xml:space="preserve">院拟对 </w:t>
      </w:r>
      <w:r>
        <w:rPr>
          <w:rFonts w:hint="eastAsia" w:ascii="仿宋" w:hAnsi="仿宋" w:eastAsia="仿宋" w:cs="仿宋"/>
          <w:spacing w:val="5"/>
          <w:sz w:val="31"/>
          <w:szCs w:val="31"/>
          <w:lang w:val="en-US" w:eastAsia="zh-CN"/>
        </w:rPr>
        <w:t>颅内压监测仪等一批设备</w:t>
      </w:r>
      <w:r>
        <w:rPr>
          <w:rFonts w:hint="eastAsia" w:ascii="仿宋" w:hAnsi="仿宋" w:eastAsia="仿宋" w:cs="仿宋"/>
          <w:spacing w:val="5"/>
          <w:sz w:val="31"/>
          <w:szCs w:val="31"/>
        </w:rPr>
        <w:t xml:space="preserve"> 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eastAsia="宋体" w:cs="宋体" w:asciiTheme="minorEastAsia" w:hAnsiTheme="minorEastAsia"/>
                <w:kern w:val="0"/>
                <w:sz w:val="24"/>
                <w:szCs w:val="24"/>
                <w:lang w:eastAsia="zh-CN"/>
              </w:rPr>
              <w:t>包</w:t>
            </w:r>
            <w:bookmarkStart w:id="30" w:name="_GoBack"/>
            <w:bookmarkEnd w:id="30"/>
            <w:r>
              <w:rPr>
                <w:rFonts w:hint="eastAsia" w:cs="宋体" w:asciiTheme="minorEastAsia" w:hAnsiTheme="minorEastAsia"/>
                <w:kern w:val="0"/>
                <w:sz w:val="24"/>
                <w:szCs w:val="24"/>
              </w:rPr>
              <w:t>号</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科室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设备名称</w:t>
            </w:r>
          </w:p>
        </w:tc>
        <w:tc>
          <w:tcPr>
            <w:tcW w:w="368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技术参数及要求</w:t>
            </w:r>
          </w:p>
        </w:tc>
        <w:tc>
          <w:tcPr>
            <w:tcW w:w="1035" w:type="dxa"/>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数量</w:t>
            </w:r>
            <w:r>
              <w:rPr>
                <w:rFonts w:hint="eastAsia" w:cs="宋体" w:asciiTheme="minorEastAsia" w:hAnsiTheme="minorEastAsia"/>
                <w:kern w:val="0"/>
                <w:sz w:val="24"/>
                <w:szCs w:val="24"/>
              </w:rPr>
              <w:t>（套）</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总价</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限价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神经外科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颅内压监测仪</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用于颅内高压监测，评估病人术后情况，要求为有创监测。</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神经内科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动态脑电图采集仪</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用于监测异常脑电图活动情况。要求配置工作站和打印机，具有脑电分析软件、自动打印报告软件，脑电图可采集和回放。</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神经内科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空气波压力治疗系统</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用于预防患者深静脉血栓。</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重症医学科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空气波压力治疗系统</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用于预防患者深静脉血栓。</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妇产科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手术无影灯</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用于产科，要求为LED灯，配置双灯头。</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手术室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电动手术床</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满足手术室多专科手术使用，要求电动控制、一键复位、前倾后仰、左右侧倾斜、背板上升下降等，可实现底座不动而床面旋转180度。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消化内科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内镜用送水装置</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用于内镜手术时冲水去除消化道粘液。</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bl>
    <w:p>
      <w:pPr>
        <w:spacing w:before="218" w:line="357" w:lineRule="auto"/>
        <w:ind w:right="14"/>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pPr w:leftFromText="180" w:rightFromText="180" w:vertAnchor="text" w:horzAnchor="page" w:tblpX="1457" w:tblpY="640"/>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eastAsia="宋体" w:cs="宋体" w:asciiTheme="minorEastAsia" w:hAnsiTheme="minorEastAsia"/>
                <w:kern w:val="0"/>
                <w:sz w:val="24"/>
                <w:szCs w:val="24"/>
                <w:lang w:eastAsia="zh-CN"/>
              </w:rPr>
              <w:t>包</w:t>
            </w:r>
            <w:r>
              <w:rPr>
                <w:rFonts w:hint="eastAsia" w:cs="宋体" w:asciiTheme="minorEastAsia" w:hAnsiTheme="minorEastAsia"/>
                <w:kern w:val="0"/>
                <w:sz w:val="24"/>
                <w:szCs w:val="24"/>
              </w:rPr>
              <w:t>号</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科室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设备名称</w:t>
            </w:r>
          </w:p>
        </w:tc>
        <w:tc>
          <w:tcPr>
            <w:tcW w:w="368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技术参数及要求</w:t>
            </w:r>
          </w:p>
        </w:tc>
        <w:tc>
          <w:tcPr>
            <w:tcW w:w="1035" w:type="dxa"/>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数量</w:t>
            </w:r>
            <w:r>
              <w:rPr>
                <w:rFonts w:hint="eastAsia" w:cs="宋体" w:asciiTheme="minorEastAsia" w:hAnsiTheme="minorEastAsia"/>
                <w:kern w:val="0"/>
                <w:sz w:val="24"/>
                <w:szCs w:val="24"/>
              </w:rPr>
              <w:t>（套）</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总价</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限价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神经外科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颅内压监测仪</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用于颅内高压监测，评估病人术后情况，要求为有创监测。</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神经内科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动态脑电图采集仪</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用于监测异常脑电图活动情况。要求配置工作站和打印机，具有脑电分析软件、自动打印报告软件，脑电图可采集和回放。</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神经内科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空气波压力治疗系统</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用于预防患者深静脉血栓。</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重症医学科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空气波压力治疗系统</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用于预防患者深静脉血栓。</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妇产科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手术无影灯</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用于产科，要求为LED灯，配置双灯头。</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手术室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电动手术床</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满足手术室多专科手术使用，要求电动控制、一键复位、前倾后仰、左右侧倾斜、背板上升下降等，可实现底座不动而床面旋转180度。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消化内科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内镜用送水装置</w:t>
            </w:r>
          </w:p>
        </w:tc>
        <w:tc>
          <w:tcPr>
            <w:tcW w:w="3686" w:type="dxa"/>
            <w:vAlign w:val="center"/>
          </w:tcPr>
          <w:p>
            <w:pPr>
              <w:widowControl/>
              <w:spacing w:line="276"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用于内镜手术时冲水去除消化道粘液。</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bl>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82266098"/>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82266104"/>
      <w:bookmarkStart w:id="27" w:name="_Toc443397367"/>
      <w:bookmarkStart w:id="28" w:name="_Toc13563883"/>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FFD66D-BABB-4D02-884E-F67B0D142E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D6EC4437-C97B-4524-80F1-030166B314F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7813D99B-D983-4342-8029-C7EBDBEA3321}"/>
  </w:font>
  <w:font w:name="仿宋">
    <w:panose1 w:val="02010609060101010101"/>
    <w:charset w:val="86"/>
    <w:family w:val="modern"/>
    <w:pitch w:val="default"/>
    <w:sig w:usb0="800002BF" w:usb1="38CF7CFA" w:usb2="00000016" w:usb3="00000000" w:csb0="00040001" w:csb1="00000000"/>
    <w:embedRegular r:id="rId4" w:fontKey="{71A892D4-EF5A-44F8-8ABA-E8E541036AAA}"/>
  </w:font>
  <w:font w:name="方正仿宋_GB2312">
    <w:panose1 w:val="02000000000000000000"/>
    <w:charset w:val="86"/>
    <w:family w:val="auto"/>
    <w:pitch w:val="default"/>
    <w:sig w:usb0="A00002BF" w:usb1="184F6CFA" w:usb2="00000012" w:usb3="00000000" w:csb0="00040001" w:csb1="00000000"/>
    <w:embedRegular r:id="rId5" w:fontKey="{6F0F4D05-B2A1-481C-9FCC-DDEB808830E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2023-10-31T07:07:03Z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