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双能骨密度仪等一批设备</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113</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双能骨密度仪等一批设备</w:t>
      </w:r>
      <w:r>
        <w:rPr>
          <w:rFonts w:hint="eastAsia" w:ascii="仿宋" w:hAnsi="仿宋" w:eastAsia="仿宋" w:cs="仿宋"/>
          <w:spacing w:val="5"/>
          <w:sz w:val="31"/>
          <w:szCs w:val="31"/>
        </w:rPr>
        <w:t xml:space="preserve"> 进行比选采购，欢迎能提供本</w:t>
      </w:r>
      <w:r>
        <w:rPr>
          <w:rFonts w:hint="eastAsia" w:ascii="仿宋" w:hAnsi="仿宋" w:eastAsia="仿宋" w:cs="仿宋"/>
          <w:spacing w:val="8"/>
          <w:sz w:val="31"/>
          <w:szCs w:val="31"/>
        </w:rPr>
        <w:t>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科室</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设备名称</w:t>
            </w:r>
          </w:p>
        </w:tc>
        <w:tc>
          <w:tcPr>
            <w:tcW w:w="3686"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技术参数及要求</w:t>
            </w:r>
          </w:p>
        </w:tc>
        <w:tc>
          <w:tcPr>
            <w:tcW w:w="1035" w:type="dxa"/>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数量</w:t>
            </w:r>
            <w:r>
              <w:rPr>
                <w:rFonts w:hint="eastAsia" w:cs="宋体" w:asciiTheme="minorEastAsia" w:hAnsiTheme="minorEastAsia"/>
                <w:kern w:val="0"/>
                <w:sz w:val="24"/>
                <w:szCs w:val="24"/>
              </w:rPr>
              <w:t>（套）</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总价</w:t>
            </w:r>
            <w:r>
              <w:rPr>
                <w:rFonts w:cs="宋体" w:asciiTheme="minorEastAsia" w:hAnsiTheme="minorEastAsia"/>
                <w:kern w:val="0"/>
                <w:sz w:val="24"/>
                <w:szCs w:val="24"/>
              </w:rPr>
              <w:br w:type="textWrapping"/>
            </w:r>
            <w:r>
              <w:rPr>
                <w:rFonts w:hint="eastAsia" w:cs="宋体" w:asciiTheme="minorEastAsia" w:hAnsiTheme="minorEastAsia"/>
                <w:kern w:val="0"/>
                <w:sz w:val="24"/>
                <w:szCs w:val="24"/>
              </w:rPr>
              <w:t>限价</w:t>
            </w:r>
          </w:p>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bookmarkStart w:id="30" w:name="_GoBack"/>
            <w:bookmarkEnd w:id="30"/>
            <w:r>
              <w:rPr>
                <w:rFonts w:hint="eastAsia" w:cs="宋体" w:asciiTheme="minorEastAsia" w:hAnsiTheme="minorEastAsia"/>
                <w:kern w:val="0"/>
                <w:sz w:val="24"/>
                <w:szCs w:val="24"/>
              </w:rPr>
              <w:t>2</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生殖医学中心</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台式桌面培养箱</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可用于胚胎培养、囊胚培养，为胚胎体外生长提供恒温恒湿的环境。具有独立的温控，培养时能稳定保持37℃；具有监控系统，当温度、湿度、气体浓度等超出设定值误差范围后立即报警。</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生殖医学中心</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液氮罐</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用于存储冷冻胚胎和精子。要求液氮罐容积≥45升；每个液氮罐配≥10个吊桶；液氮罐底座配滚轮，方便移动。</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内分泌科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胰岛素泵</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用于糖尿病胰岛素强化治疗。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泌尿外科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输尿管</w:t>
            </w:r>
            <w:r>
              <w:rPr>
                <w:rFonts w:hint="eastAsia" w:cs="宋体" w:asciiTheme="minorEastAsia" w:hAnsiTheme="minorEastAsia"/>
                <w:kern w:val="0"/>
                <w:sz w:val="24"/>
                <w:szCs w:val="24"/>
              </w:rPr>
              <w:t>硬</w:t>
            </w:r>
            <w:r>
              <w:rPr>
                <w:rFonts w:cs="宋体" w:asciiTheme="minorEastAsia" w:hAnsiTheme="minorEastAsia"/>
                <w:kern w:val="0"/>
                <w:sz w:val="24"/>
                <w:szCs w:val="24"/>
              </w:rPr>
              <w:t>镜</w:t>
            </w:r>
            <w:r>
              <w:rPr>
                <w:rFonts w:hint="eastAsia" w:cs="宋体" w:asciiTheme="minorEastAsia" w:hAnsiTheme="minorEastAsia"/>
                <w:kern w:val="0"/>
                <w:sz w:val="24"/>
                <w:szCs w:val="24"/>
              </w:rPr>
              <w:t>（精囊镜）</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用于通过射精管进入精囊，依次检查精囊和射精管，发现病变可同时腔镜下处理。</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小儿输尿管镜</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用于儿童患者尿道、膀胱、输尿管检查、诊断及手术治疗。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小儿精细器械</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分离结扎钳不同规格</w:t>
            </w:r>
            <w:r>
              <w:rPr>
                <w:rFonts w:hint="eastAsia" w:asciiTheme="minorEastAsia" w:hAnsiTheme="minorEastAsia"/>
                <w:kern w:val="0"/>
                <w:sz w:val="24"/>
                <w:szCs w:val="24"/>
              </w:rPr>
              <w:t>共4把、显微镊1把、组织镊不同规格共10把、组织剪不同规格共4把、持针器2个、蚊式止血钳8把、无损伤阻断钳不同规格共4把、组织钳4把。</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烧伤外科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电动取皮刀</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用于皮肤移植手术时切取皮片，要求取皮厚度可调，取皮宽度可供选择≥5个规格。</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烧伤外科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医用悬浮床</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用于大面积烧烫伤患者救治</w:t>
            </w:r>
            <w:r>
              <w:rPr>
                <w:rFonts w:hint="eastAsia" w:asciiTheme="minorEastAsia" w:hAnsiTheme="minorEastAsia"/>
                <w:kern w:val="0"/>
                <w:sz w:val="24"/>
                <w:szCs w:val="24"/>
              </w:rPr>
              <w:t>，</w:t>
            </w:r>
            <w:r>
              <w:rPr>
                <w:rFonts w:asciiTheme="minorEastAsia" w:hAnsiTheme="minorEastAsia"/>
                <w:kern w:val="0"/>
                <w:sz w:val="24"/>
                <w:szCs w:val="24"/>
              </w:rPr>
              <w:t>具备称重功能</w:t>
            </w:r>
            <w:r>
              <w:rPr>
                <w:rFonts w:hint="eastAsia" w:asciiTheme="minorEastAsia" w:hAnsiTheme="minorEastAsia"/>
                <w:kern w:val="0"/>
                <w:sz w:val="24"/>
                <w:szCs w:val="24"/>
              </w:rPr>
              <w:t>。</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烧伤外科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光子治疗仪</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用于烧伤患者、创面患者治疗。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皮肤科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光子治疗仪</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用于带状疱疹、天疱疮、脓疱疮、药疹、湿疹等疾病的治疗。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骨科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腕关节镜</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腕关节镜需与我院现有施乐辉关节镜系统配套使用</w:t>
            </w:r>
            <w:r>
              <w:rPr>
                <w:rFonts w:hint="eastAsia" w:asciiTheme="minorEastAsia" w:hAnsiTheme="minorEastAsia"/>
                <w:kern w:val="0"/>
                <w:sz w:val="24"/>
                <w:szCs w:val="24"/>
              </w:rPr>
              <w:t>。</w:t>
            </w:r>
            <w:r>
              <w:rPr>
                <w:rFonts w:asciiTheme="minorEastAsia" w:hAnsiTheme="minorEastAsia"/>
                <w:kern w:val="0"/>
                <w:sz w:val="24"/>
                <w:szCs w:val="24"/>
              </w:rPr>
              <w:t>配置</w:t>
            </w:r>
            <w:r>
              <w:rPr>
                <w:rFonts w:hint="eastAsia" w:asciiTheme="minorEastAsia" w:hAnsiTheme="minorEastAsia"/>
                <w:kern w:val="0"/>
                <w:sz w:val="24"/>
                <w:szCs w:val="24"/>
              </w:rPr>
              <w:t>30度腕关节镜1根、配套短套管和钝型器各1根、锥形穿戳器1根。</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13</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骨科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肩关节器械</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肩关节手术配套使用器械</w:t>
            </w:r>
            <w:r>
              <w:rPr>
                <w:rFonts w:hint="eastAsia" w:asciiTheme="minorEastAsia" w:hAnsiTheme="minorEastAsia"/>
                <w:kern w:val="0"/>
                <w:sz w:val="24"/>
                <w:szCs w:val="24"/>
              </w:rPr>
              <w:t>，</w:t>
            </w:r>
            <w:r>
              <w:rPr>
                <w:rFonts w:asciiTheme="minorEastAsia" w:hAnsiTheme="minorEastAsia"/>
                <w:kern w:val="0"/>
                <w:sz w:val="24"/>
                <w:szCs w:val="24"/>
              </w:rPr>
              <w:t>配置抓线钳</w:t>
            </w:r>
            <w:r>
              <w:rPr>
                <w:rFonts w:hint="eastAsia" w:asciiTheme="minorEastAsia" w:hAnsiTheme="minorEastAsia"/>
                <w:kern w:val="0"/>
                <w:sz w:val="24"/>
                <w:szCs w:val="24"/>
              </w:rPr>
              <w:t>2把、开口剪线器2把、带锁缝线组织抓钳2把。</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10.5</w:t>
            </w:r>
          </w:p>
        </w:tc>
      </w:tr>
    </w:tbl>
    <w:p>
      <w:pPr>
        <w:spacing w:before="218" w:line="357" w:lineRule="auto"/>
        <w:ind w:right="14"/>
        <w:rPr>
          <w:rFonts w:ascii="仿宋" w:hAnsi="仿宋" w:eastAsia="仿宋" w:cs="仿宋"/>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5、供应商须提供医疗器械经营备案凭证或者《医疗器械经营许可证》（医疗器械经营</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备案凭证或医疗器械经营许可证经营范围须包含所投产品）。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6、投标产品授权书（生产厂家或者国内总代授权，可分级授权）。 </w:t>
      </w:r>
    </w:p>
    <w:p>
      <w:pPr>
        <w:spacing w:line="240" w:lineRule="auto"/>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科室</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设备名称</w:t>
            </w:r>
          </w:p>
        </w:tc>
        <w:tc>
          <w:tcPr>
            <w:tcW w:w="3686"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技术参数及要求</w:t>
            </w:r>
          </w:p>
        </w:tc>
        <w:tc>
          <w:tcPr>
            <w:tcW w:w="1035" w:type="dxa"/>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数量</w:t>
            </w:r>
            <w:r>
              <w:rPr>
                <w:rFonts w:hint="eastAsia" w:cs="宋体" w:asciiTheme="minorEastAsia" w:hAnsiTheme="minorEastAsia"/>
                <w:kern w:val="0"/>
                <w:sz w:val="24"/>
                <w:szCs w:val="24"/>
              </w:rPr>
              <w:t>（套）</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总价</w:t>
            </w:r>
            <w:r>
              <w:rPr>
                <w:rFonts w:cs="宋体" w:asciiTheme="minorEastAsia" w:hAnsiTheme="minorEastAsia"/>
                <w:kern w:val="0"/>
                <w:sz w:val="24"/>
                <w:szCs w:val="24"/>
              </w:rPr>
              <w:br w:type="textWrapping"/>
            </w:r>
            <w:r>
              <w:rPr>
                <w:rFonts w:hint="eastAsia" w:cs="宋体" w:asciiTheme="minorEastAsia" w:hAnsiTheme="minorEastAsia"/>
                <w:kern w:val="0"/>
                <w:sz w:val="24"/>
                <w:szCs w:val="24"/>
              </w:rPr>
              <w:t>限价</w:t>
            </w:r>
          </w:p>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健康管理中心</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双能骨密度仪</w:t>
            </w:r>
          </w:p>
        </w:tc>
        <w:tc>
          <w:tcPr>
            <w:tcW w:w="3686" w:type="dxa"/>
            <w:vAlign w:val="center"/>
          </w:tcPr>
          <w:p>
            <w:pPr>
              <w:jc w:val="left"/>
              <w:rPr>
                <w:rFonts w:asciiTheme="minorEastAsia" w:hAnsiTheme="minorEastAsia"/>
                <w:kern w:val="0"/>
                <w:sz w:val="24"/>
                <w:szCs w:val="24"/>
              </w:rPr>
            </w:pPr>
            <w:r>
              <w:rPr>
                <w:rFonts w:asciiTheme="minorEastAsia" w:hAnsiTheme="minorEastAsia"/>
                <w:kern w:val="0"/>
                <w:sz w:val="24"/>
                <w:szCs w:val="24"/>
              </w:rPr>
              <w:t>能够</w:t>
            </w:r>
            <w:r>
              <w:rPr>
                <w:rFonts w:hint="eastAsia" w:ascii="宋体" w:hAnsi="宋体" w:eastAsia="宋体" w:cs="宋体"/>
                <w:bCs/>
                <w:kern w:val="0"/>
                <w:sz w:val="24"/>
                <w:szCs w:val="24"/>
              </w:rPr>
              <w:t>检测人体前臂远端尺、桡骨，可诊断骨质疏松病症，能够进行骨密度相关数据分析、骨密度报告打印、系统数据远程交换等。</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生殖医学中心</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台式桌面培养箱</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可用于胚胎培养、囊胚培养，为胚胎体外生长提供恒温恒湿的环境。具有独立的温控，培养时能稳定保持37℃；具有监控系统，当温度、湿度、气体浓度等超出设定值误差范围后立即报警。</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生殖医学中心</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液氮罐</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用于存储冷冻胚胎和精子。要求液氮罐容积≥45升；每个液氮罐配≥10个吊桶；液氮罐底座配滚轮，方便移动。</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内分泌科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胰岛素泵</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用于糖尿病胰岛素强化治疗。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泌尿外科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输尿管</w:t>
            </w:r>
            <w:r>
              <w:rPr>
                <w:rFonts w:hint="eastAsia" w:cs="宋体" w:asciiTheme="minorEastAsia" w:hAnsiTheme="minorEastAsia"/>
                <w:kern w:val="0"/>
                <w:sz w:val="24"/>
                <w:szCs w:val="24"/>
              </w:rPr>
              <w:t>硬</w:t>
            </w:r>
            <w:r>
              <w:rPr>
                <w:rFonts w:cs="宋体" w:asciiTheme="minorEastAsia" w:hAnsiTheme="minorEastAsia"/>
                <w:kern w:val="0"/>
                <w:sz w:val="24"/>
                <w:szCs w:val="24"/>
              </w:rPr>
              <w:t>镜</w:t>
            </w:r>
            <w:r>
              <w:rPr>
                <w:rFonts w:hint="eastAsia" w:cs="宋体" w:asciiTheme="minorEastAsia" w:hAnsiTheme="minorEastAsia"/>
                <w:kern w:val="0"/>
                <w:sz w:val="24"/>
                <w:szCs w:val="24"/>
              </w:rPr>
              <w:t>（精囊镜）</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用于通过射精管进入精囊，依次检查精囊和射精管，发现病变可同时腔镜下处理。</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小儿输尿管镜</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用于儿童患者尿道、膀胱、输尿管检查、诊断及手术治疗。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小儿精细器械</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分离结扎钳不同规格</w:t>
            </w:r>
            <w:r>
              <w:rPr>
                <w:rFonts w:hint="eastAsia" w:asciiTheme="minorEastAsia" w:hAnsiTheme="minorEastAsia"/>
                <w:kern w:val="0"/>
                <w:sz w:val="24"/>
                <w:szCs w:val="24"/>
              </w:rPr>
              <w:t>共4把、显微镊1把、组织镊不同规格共10把、组织剪不同规格共4把、持针器2个、蚊式止血钳8把、无损伤阻断钳不同规格共4把、组织钳4把。</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烧伤外科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电动取皮刀</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用于皮肤移植手术时切取皮片，要求取皮厚度可调，取皮宽度可供选择≥5个规格。</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烧伤外科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医用悬浮床</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用于大面积烧烫伤患者救治</w:t>
            </w:r>
            <w:r>
              <w:rPr>
                <w:rFonts w:hint="eastAsia" w:asciiTheme="minorEastAsia" w:hAnsiTheme="minorEastAsia"/>
                <w:kern w:val="0"/>
                <w:sz w:val="24"/>
                <w:szCs w:val="24"/>
              </w:rPr>
              <w:t>，</w:t>
            </w:r>
            <w:r>
              <w:rPr>
                <w:rFonts w:asciiTheme="minorEastAsia" w:hAnsiTheme="minorEastAsia"/>
                <w:kern w:val="0"/>
                <w:sz w:val="24"/>
                <w:szCs w:val="24"/>
              </w:rPr>
              <w:t>具备称重功能</w:t>
            </w:r>
            <w:r>
              <w:rPr>
                <w:rFonts w:hint="eastAsia" w:asciiTheme="minorEastAsia" w:hAnsiTheme="minorEastAsia"/>
                <w:kern w:val="0"/>
                <w:sz w:val="24"/>
                <w:szCs w:val="24"/>
              </w:rPr>
              <w:t>。</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烧伤外科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光子治疗仪</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用于烧伤患者、创面患者治疗。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皮肤科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光子治疗仪</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用于带状疱疹、天疱疮、脓疱疮、药疹、湿疹等疾病的治疗。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骨科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腕关节镜</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腕关节镜需与我院现有施乐辉关节镜系统配套使用</w:t>
            </w:r>
            <w:r>
              <w:rPr>
                <w:rFonts w:hint="eastAsia" w:asciiTheme="minorEastAsia" w:hAnsiTheme="minorEastAsia"/>
                <w:kern w:val="0"/>
                <w:sz w:val="24"/>
                <w:szCs w:val="24"/>
              </w:rPr>
              <w:t>。</w:t>
            </w:r>
            <w:r>
              <w:rPr>
                <w:rFonts w:asciiTheme="minorEastAsia" w:hAnsiTheme="minorEastAsia"/>
                <w:kern w:val="0"/>
                <w:sz w:val="24"/>
                <w:szCs w:val="24"/>
              </w:rPr>
              <w:t>配置</w:t>
            </w:r>
            <w:r>
              <w:rPr>
                <w:rFonts w:hint="eastAsia" w:asciiTheme="minorEastAsia" w:hAnsiTheme="minorEastAsia"/>
                <w:kern w:val="0"/>
                <w:sz w:val="24"/>
                <w:szCs w:val="24"/>
              </w:rPr>
              <w:t>30度腕关节镜1根、配套短套管和钝型器各1根、锥形穿戳器1根。</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13</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骨科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肩关节器械</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肩关节手术配套使用器械</w:t>
            </w:r>
            <w:r>
              <w:rPr>
                <w:rFonts w:hint="eastAsia" w:asciiTheme="minorEastAsia" w:hAnsiTheme="minorEastAsia"/>
                <w:kern w:val="0"/>
                <w:sz w:val="24"/>
                <w:szCs w:val="24"/>
              </w:rPr>
              <w:t>，</w:t>
            </w:r>
            <w:r>
              <w:rPr>
                <w:rFonts w:asciiTheme="minorEastAsia" w:hAnsiTheme="minorEastAsia"/>
                <w:kern w:val="0"/>
                <w:sz w:val="24"/>
                <w:szCs w:val="24"/>
              </w:rPr>
              <w:t>配置抓线钳</w:t>
            </w:r>
            <w:r>
              <w:rPr>
                <w:rFonts w:hint="eastAsia" w:asciiTheme="minorEastAsia" w:hAnsiTheme="minorEastAsia"/>
                <w:kern w:val="0"/>
                <w:sz w:val="24"/>
                <w:szCs w:val="24"/>
              </w:rPr>
              <w:t>2把、开口剪线器2把、带锁缝线组织抓钳2把。</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10.5</w:t>
            </w:r>
          </w:p>
        </w:tc>
      </w:tr>
    </w:tbl>
    <w:p>
      <w:pPr>
        <w:pStyle w:val="12"/>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pStyle w:val="12"/>
        <w:rPr>
          <w:rFonts w:hint="default"/>
          <w:lang w:val="en-US" w:eastAsia="zh-CN"/>
        </w:rPr>
      </w:pPr>
      <w:r>
        <w:rPr>
          <w:rFonts w:hint="eastAsia" w:ascii="仿宋" w:hAnsi="仿宋" w:eastAsia="仿宋" w:cs="仿宋"/>
          <w:snapToGrid w:val="0"/>
          <w:color w:val="000000"/>
          <w:spacing w:val="8"/>
          <w:kern w:val="0"/>
          <w:sz w:val="31"/>
          <w:szCs w:val="31"/>
          <w:lang w:val="en-US" w:eastAsia="zh-CN" w:bidi="ar-SA"/>
        </w:rPr>
        <w:t xml:space="preserve">    5、提供产品铭牌照片佐证设备使用期限。</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1、响应文件封面。（详见附件1）</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2、报出投标产品品牌、生产厂家、型号及价格。</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3、提供有效的《营业执照》、《税务登记证》、《组织机构代码证》或三证合一的《营业执照》。（全供应链公司均需提供）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4、医疗器械经营许可证或备案凭证。（全供应链公司均需提供）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5、投标产品医疗器械注册证。</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6、投标产品授权书。</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7、法人给授权代表的授权书及法人、授权代表身份证复印件。</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8、投标产品的技术参数及配置清单。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9、产品彩页资料（只附报名设备彩页资料）</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10、产品的用户名单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11、报出专用耗材、试剂和易损件价格。</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12、售后服务承诺。</w:t>
      </w:r>
    </w:p>
    <w:p>
      <w:pPr>
        <w:pStyle w:val="1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13、提供产品铭牌照片佐证设备使用期限。</w:t>
      </w:r>
    </w:p>
    <w:p>
      <w:pPr>
        <w:pStyle w:val="1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李老师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rPr>
          <w:rFonts w:hint="default" w:eastAsia="楷体à.ā"/>
          <w:lang w:val="en-US" w:eastAsia="zh-CN"/>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设备采购承诺函及最终报价单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项目编号：                    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11、授权人签字：          授权人联系方式：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13563815"/>
      <w:bookmarkStart w:id="2" w:name="_Toc482266098"/>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443397365"/>
      <w:bookmarkStart w:id="8" w:name="_Toc13563872"/>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4"/>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4"/>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3"/>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11764042"/>
      <w:bookmarkStart w:id="27" w:name="_Toc482266104"/>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3"/>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2"/>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421D73-4EBB-4E7B-8744-CC9BA20DFA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embedRegular r:id="rId2" w:fontKey="{333563DC-3515-4338-9804-A6C4E2FC6D4E}"/>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DF67F3E5-9737-4332-AA38-5654ACFE5108}"/>
  </w:font>
  <w:font w:name="仿宋">
    <w:panose1 w:val="02010609060101010101"/>
    <w:charset w:val="86"/>
    <w:family w:val="modern"/>
    <w:pitch w:val="default"/>
    <w:sig w:usb0="800002BF" w:usb1="38CF7CFA" w:usb2="00000016" w:usb3="00000000" w:csb0="00040001" w:csb1="00000000"/>
    <w:embedRegular r:id="rId4" w:fontKey="{15F98CE1-E497-4C72-8125-D7323536F2C9}"/>
  </w:font>
  <w:font w:name="方正仿宋_GB2312">
    <w:panose1 w:val="02000000000000000000"/>
    <w:charset w:val="86"/>
    <w:family w:val="auto"/>
    <w:pitch w:val="default"/>
    <w:sig w:usb0="A00002BF" w:usb1="184F6CFA" w:usb2="00000012" w:usb3="00000000" w:csb0="00040001" w:csb1="00000000"/>
    <w:embedRegular r:id="rId5" w:fontKey="{41C2B934-06EC-4E39-AF65-72FFF61F9A8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A03BB3"/>
    <w:rsid w:val="0FF47E3A"/>
    <w:rsid w:val="1E500961"/>
    <w:rsid w:val="201725C8"/>
    <w:rsid w:val="21477726"/>
    <w:rsid w:val="29276970"/>
    <w:rsid w:val="2CB63FA3"/>
    <w:rsid w:val="31132938"/>
    <w:rsid w:val="368F3A91"/>
    <w:rsid w:val="3E960A3C"/>
    <w:rsid w:val="43375539"/>
    <w:rsid w:val="490E1F0B"/>
    <w:rsid w:val="4F9D48D9"/>
    <w:rsid w:val="525939B7"/>
    <w:rsid w:val="5C33726B"/>
    <w:rsid w:val="6BFE4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jc w:val="center"/>
    </w:pPr>
    <w:rPr>
      <w:rFonts w:eastAsia="黑体"/>
      <w:sz w:val="44"/>
      <w:szCs w:val="21"/>
    </w:rPr>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4"/>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qFormat/>
    <w:uiPriority w:val="0"/>
    <w:rPr>
      <w:rFonts w:ascii="Arial" w:hAnsi="Arial" w:eastAsia="Arial" w:cs="Arial"/>
      <w:snapToGrid w:val="0"/>
      <w:color w:val="000000"/>
      <w:sz w:val="18"/>
      <w:szCs w:val="18"/>
    </w:rPr>
  </w:style>
  <w:style w:type="character" w:customStyle="1" w:styleId="17">
    <w:name w:val="页脚 字符"/>
    <w:basedOn w:val="11"/>
    <w:link w:val="5"/>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1</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2023-10-26T09:33:59Z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44F93B14D3F94C6581116C150A4F8372_13</vt:lpwstr>
  </property>
</Properties>
</file>