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pStyle w:val="9"/>
      </w:pPr>
    </w:p>
    <w:p>
      <w:pPr>
        <w:pStyle w:val="9"/>
      </w:pPr>
    </w:p>
    <w:p>
      <w:pPr>
        <w:pStyle w:val="9"/>
        <w:ind w:left="0" w:leftChars="0" w:firstLine="0" w:firstLineChars="0"/>
      </w:pPr>
    </w:p>
    <w:p>
      <w:pPr>
        <w:pStyle w:val="9"/>
      </w:pPr>
    </w:p>
    <w:p>
      <w:pPr>
        <w:spacing w:line="245" w:lineRule="auto"/>
      </w:pPr>
    </w:p>
    <w:p>
      <w:pPr>
        <w:spacing w:line="245" w:lineRule="auto"/>
      </w:pPr>
    </w:p>
    <w:p>
      <w:pPr>
        <w:spacing w:line="245" w:lineRule="auto"/>
      </w:pPr>
    </w:p>
    <w:p>
      <w:pPr>
        <w:spacing w:line="245" w:lineRule="auto"/>
        <w:ind w:firstLine="1344" w:firstLineChars="400"/>
        <w:rPr>
          <w:rFonts w:ascii="黑体" w:hAnsi="黑体" w:eastAsia="黑体" w:cs="黑体"/>
          <w:spacing w:val="8"/>
          <w:sz w:val="32"/>
          <w:szCs w:val="32"/>
        </w:rPr>
      </w:pPr>
    </w:p>
    <w:p>
      <w:pPr>
        <w:spacing w:line="245" w:lineRule="auto"/>
        <w:ind w:firstLine="1008" w:firstLineChars="300"/>
        <w:rPr>
          <w:rFonts w:hint="default" w:ascii="黑体" w:hAnsi="黑体" w:eastAsia="黑体" w:cs="黑体"/>
          <w:spacing w:val="7"/>
          <w:sz w:val="32"/>
          <w:szCs w:val="32"/>
          <w:lang w:val="en-US"/>
        </w:rPr>
      </w:pPr>
      <w:r>
        <w:rPr>
          <w:rFonts w:hint="eastAsia" w:ascii="黑体" w:hAnsi="黑体" w:eastAsia="黑体" w:cs="黑体"/>
          <w:spacing w:val="8"/>
          <w:sz w:val="32"/>
          <w:szCs w:val="32"/>
        </w:rPr>
        <w:t>项目名称：</w:t>
      </w:r>
      <w:r>
        <w:rPr>
          <w:rFonts w:hint="eastAsia" w:ascii="黑体" w:hAnsi="黑体" w:eastAsia="黑体" w:cs="黑体"/>
          <w:spacing w:val="7"/>
          <w:sz w:val="32"/>
          <w:szCs w:val="32"/>
          <w:lang w:val="en-US" w:eastAsia="zh-CN"/>
        </w:rPr>
        <w:t>一次性使用活检针等一批耗材及试剂</w:t>
      </w:r>
    </w:p>
    <w:p>
      <w:pPr>
        <w:spacing w:line="245" w:lineRule="auto"/>
        <w:ind w:firstLine="1336" w:firstLineChars="400"/>
        <w:rPr>
          <w:rFonts w:ascii="黑体" w:hAnsi="黑体" w:eastAsia="黑体" w:cs="黑体"/>
          <w:spacing w:val="7"/>
          <w:sz w:val="32"/>
          <w:szCs w:val="32"/>
        </w:rPr>
      </w:pPr>
    </w:p>
    <w:p>
      <w:pPr>
        <w:spacing w:line="245" w:lineRule="auto"/>
        <w:ind w:firstLine="1002" w:firstLineChars="300"/>
        <w:rPr>
          <w:rFonts w:eastAsia="黑体"/>
          <w:sz w:val="32"/>
          <w:szCs w:val="32"/>
        </w:rPr>
      </w:pPr>
      <w:r>
        <w:rPr>
          <w:rFonts w:hint="eastAsia" w:ascii="黑体" w:hAnsi="黑体" w:eastAsia="黑体" w:cs="黑体"/>
          <w:spacing w:val="7"/>
          <w:sz w:val="32"/>
          <w:szCs w:val="32"/>
        </w:rPr>
        <w:t>项目编号：MYCH比选（2023）</w:t>
      </w:r>
      <w:r>
        <w:rPr>
          <w:rFonts w:hint="eastAsia" w:ascii="黑体" w:hAnsi="黑体" w:eastAsia="黑体" w:cs="黑体"/>
          <w:spacing w:val="7"/>
          <w:sz w:val="32"/>
          <w:szCs w:val="32"/>
          <w:lang w:val="en-US" w:eastAsia="zh-CN"/>
        </w:rPr>
        <w:t>117</w:t>
      </w:r>
      <w:r>
        <w:rPr>
          <w:rFonts w:hint="eastAsia" w:ascii="黑体" w:hAnsi="黑体" w:eastAsia="黑体" w:cs="黑体"/>
          <w:spacing w:val="7"/>
          <w:sz w:val="32"/>
          <w:szCs w:val="32"/>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一次性使用活检针等一批耗材及试剂</w:t>
      </w:r>
      <w:r>
        <w:rPr>
          <w:rFonts w:hint="eastAsia" w:ascii="仿宋" w:hAnsi="仿宋" w:eastAsia="仿宋" w:cs="仿宋"/>
          <w:spacing w:val="8"/>
          <w:sz w:val="31"/>
          <w:szCs w:val="31"/>
        </w:rPr>
        <w:t>进</w:t>
      </w:r>
      <w:r>
        <w:rPr>
          <w:rFonts w:ascii="仿宋" w:hAnsi="仿宋" w:eastAsia="仿宋" w:cs="仿宋"/>
          <w:spacing w:val="8"/>
          <w:sz w:val="31"/>
          <w:szCs w:val="31"/>
        </w:rPr>
        <w:t>行比选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能提供本次耗材的供应商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0"/>
        <w:tblW w:w="5494" w:type="pct"/>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98"/>
        <w:gridCol w:w="335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88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膜型血浆分离器、膜型血浆成分分离器、透析型人工肾一次性使用血液回路导管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一次性使用球囊扩充压力泵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32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78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神经内科</w:t>
            </w:r>
          </w:p>
        </w:tc>
        <w:tc>
          <w:tcPr>
            <w:tcW w:w="1886"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老年综合科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植入式心脏起搏器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牙周塞治剂或同类产品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牙科全瓷瓷块或同类产品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牙科精密附着体或同类产品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止血愈创纱或同类产品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医用胶原蛋白海绵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医用口腔敷料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微量注射器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无菌瓶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妇产科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产后聚血器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妇产科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离子刀（电刀）刀头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栓塞系统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耳鼻咽喉科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通气引流管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一次性使用取石网篮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造口袋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C1q抗体试剂（免疫组织化学）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C3c抗体试剂（免疫组织化学）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C4c抗体试剂（免疫组织化学）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IgA抗体试剂（免疫组织化学）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IgG抗体试剂（免疫组织化学）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IgM抗体试剂（免疫组织化学）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0" w:type="auto"/>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0" w:type="auto"/>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纤维蛋白原（Fibrinogen）抗体试剂（免疫组织化学法）</w:t>
            </w:r>
          </w:p>
        </w:tc>
      </w:tr>
    </w:tbl>
    <w:p>
      <w:pPr>
        <w:pStyle w:val="19"/>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pStyle w:val="19"/>
        <w:numPr>
          <w:ilvl w:val="0"/>
          <w:numId w:val="0"/>
        </w:numPr>
        <w:spacing w:before="1" w:line="292" w:lineRule="auto"/>
        <w:ind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（1）具有独立承担民事责任的能力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（2）具有良好的商业信誉和健全的财务会计制度</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（3）具有履行合同所必须的设备和专业技术能力</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（4）有依法缴纳税收和社会保障资金的良好记录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（5）供应商参加本次政府采购活动前三年内，在经营活动中没有重大违法记录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（6）本项目参加政府采购活动的投标人、法定代表人(非法人负责人、自然人本人)在前3年内不得具有行贿犯罪记录</w:t>
      </w:r>
    </w:p>
    <w:p>
      <w:pPr>
        <w:pStyle w:val="15"/>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（7）法律、行政法规规定的其他条件。</w:t>
      </w:r>
    </w:p>
    <w:p>
      <w:pPr>
        <w:numPr>
          <w:ilvl w:val="0"/>
          <w:numId w:val="2"/>
        </w:numPr>
        <w:spacing w:before="218" w:line="357" w:lineRule="auto"/>
        <w:ind w:left="37" w:right="14" w:firstLine="642"/>
        <w:rPr>
          <w:rFonts w:hint="eastAsia" w:ascii="仿宋" w:hAnsi="仿宋" w:eastAsia="仿宋" w:cs="仿宋"/>
          <w:spacing w:val="8"/>
          <w:sz w:val="31"/>
          <w:szCs w:val="31"/>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W w:w="6116"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6"/>
        <w:gridCol w:w="1093"/>
        <w:gridCol w:w="2460"/>
        <w:gridCol w:w="354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包号</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产品用途及技术要求</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膜型血浆分离器、膜型血浆成分分离器、透析型人工肾一次性使用血液回路导管</w:t>
            </w:r>
          </w:p>
        </w:tc>
        <w:tc>
          <w:tcPr>
            <w:tcW w:w="1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1、用于双重血浆置换。2、配套费森尤斯急性透析和体外血液治疗机，型号multiFiLtrate with integratod Ci-Ca modu使用。</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肾病内科</w:t>
            </w:r>
          </w:p>
        </w:tc>
        <w:tc>
          <w:tcPr>
            <w:tcW w:w="117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一次性使用球囊扩充压力泵</w:t>
            </w:r>
          </w:p>
        </w:tc>
        <w:tc>
          <w:tcPr>
            <w:tcW w:w="169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w:t>
            </w:r>
            <w:r>
              <w:rPr>
                <w:rFonts w:hint="default" w:ascii="Arial" w:hAnsi="Arial" w:eastAsia="宋体" w:cs="Arial"/>
                <w:i w:val="0"/>
                <w:iCs w:val="0"/>
                <w:color w:val="000000"/>
                <w:kern w:val="0"/>
                <w:sz w:val="18"/>
                <w:szCs w:val="18"/>
                <w:u w:val="none"/>
                <w:lang w:val="en-US" w:eastAsia="zh-CN" w:bidi="ar"/>
              </w:rPr>
              <w:t>PTCA</w:t>
            </w:r>
            <w:r>
              <w:rPr>
                <w:rFonts w:hint="eastAsia" w:ascii="宋体" w:hAnsi="宋体" w:eastAsia="宋体" w:cs="宋体"/>
                <w:i w:val="0"/>
                <w:iCs w:val="0"/>
                <w:color w:val="000000"/>
                <w:kern w:val="0"/>
                <w:sz w:val="18"/>
                <w:szCs w:val="18"/>
                <w:u w:val="none"/>
                <w:lang w:val="en-US" w:eastAsia="zh-CN" w:bidi="ar"/>
              </w:rPr>
              <w:t>手术中，对球囊扩张导管进行加压；</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、大气压不少于</w:t>
            </w:r>
            <w:r>
              <w:rPr>
                <w:rFonts w:hint="default" w:ascii="Arial" w:hAnsi="Arial" w:eastAsia="宋体" w:cs="Arial"/>
                <w:i w:val="0"/>
                <w:iCs w:val="0"/>
                <w:color w:val="000000"/>
                <w:kern w:val="0"/>
                <w:sz w:val="18"/>
                <w:szCs w:val="18"/>
                <w:u w:val="none"/>
                <w:lang w:val="en-US" w:eastAsia="zh-CN" w:bidi="ar"/>
              </w:rPr>
              <w:t>40atm</w:t>
            </w:r>
            <w:r>
              <w:rPr>
                <w:rFonts w:hint="eastAsia" w:ascii="宋体" w:hAnsi="宋体" w:eastAsia="宋体" w:cs="宋体"/>
                <w:i w:val="0"/>
                <w:iCs w:val="0"/>
                <w:color w:val="000000"/>
                <w:kern w:val="0"/>
                <w:sz w:val="18"/>
                <w:szCs w:val="18"/>
                <w:u w:val="none"/>
                <w:lang w:val="en-US" w:eastAsia="zh-CN" w:bidi="ar"/>
              </w:rPr>
              <w:t>。</w:t>
            </w:r>
          </w:p>
        </w:tc>
        <w:tc>
          <w:tcPr>
            <w:tcW w:w="121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3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5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神经内科</w:t>
            </w:r>
          </w:p>
        </w:tc>
        <w:tc>
          <w:tcPr>
            <w:tcW w:w="11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颅内支架</w:t>
            </w:r>
          </w:p>
        </w:tc>
        <w:tc>
          <w:tcPr>
            <w:tcW w:w="16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、自膨式支架。</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、镍钛合金材料，直径</w:t>
            </w:r>
            <w:r>
              <w:rPr>
                <w:rFonts w:hint="default" w:ascii="Arial" w:hAnsi="Arial" w:eastAsia="宋体" w:cs="Arial"/>
                <w:i w:val="0"/>
                <w:iCs w:val="0"/>
                <w:color w:val="000000"/>
                <w:kern w:val="0"/>
                <w:sz w:val="18"/>
                <w:szCs w:val="18"/>
                <w:u w:val="none"/>
                <w:lang w:val="en-US" w:eastAsia="zh-CN" w:bidi="ar"/>
              </w:rPr>
              <w:t>2.5/3.0/3.5/4.0/4.5mm</w:t>
            </w:r>
            <w:r>
              <w:rPr>
                <w:rFonts w:hint="eastAsia" w:ascii="宋体" w:hAnsi="宋体" w:eastAsia="宋体" w:cs="宋体"/>
                <w:i w:val="0"/>
                <w:iCs w:val="0"/>
                <w:color w:val="000000"/>
                <w:kern w:val="0"/>
                <w:sz w:val="18"/>
                <w:szCs w:val="18"/>
                <w:u w:val="none"/>
                <w:lang w:val="en-US" w:eastAsia="zh-CN" w:bidi="ar"/>
              </w:rPr>
              <w:t>，长度</w:t>
            </w:r>
            <w:r>
              <w:rPr>
                <w:rFonts w:hint="default" w:ascii="Arial" w:hAnsi="Arial" w:eastAsia="宋体" w:cs="Arial"/>
                <w:i w:val="0"/>
                <w:iCs w:val="0"/>
                <w:color w:val="000000"/>
                <w:kern w:val="0"/>
                <w:sz w:val="18"/>
                <w:szCs w:val="18"/>
                <w:u w:val="none"/>
                <w:lang w:val="en-US" w:eastAsia="zh-CN" w:bidi="ar"/>
              </w:rPr>
              <w:t>15/20/30mm</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、颅内动脉狭窄治疗。</w:t>
            </w:r>
          </w:p>
        </w:tc>
        <w:tc>
          <w:tcPr>
            <w:tcW w:w="121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老年综合科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植入式心脏起搏器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、单腔起搏器；</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、用于心动过缓性心律失常；</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、兼容</w:t>
            </w:r>
            <w:r>
              <w:rPr>
                <w:rFonts w:hint="default" w:ascii="Arial" w:hAnsi="Arial" w:eastAsia="宋体" w:cs="Arial"/>
                <w:i w:val="0"/>
                <w:iCs w:val="0"/>
                <w:color w:val="000000"/>
                <w:kern w:val="0"/>
                <w:sz w:val="18"/>
                <w:szCs w:val="18"/>
                <w:u w:val="none"/>
                <w:lang w:val="en-US" w:eastAsia="zh-CN" w:bidi="ar"/>
              </w:rPr>
              <w:t>1. 5T</w:t>
            </w:r>
            <w:r>
              <w:rPr>
                <w:rFonts w:hint="eastAsia" w:ascii="宋体" w:hAnsi="宋体" w:eastAsia="宋体" w:cs="宋体"/>
                <w:i w:val="0"/>
                <w:iCs w:val="0"/>
                <w:color w:val="000000"/>
                <w:kern w:val="0"/>
                <w:sz w:val="18"/>
                <w:szCs w:val="18"/>
                <w:u w:val="none"/>
                <w:lang w:val="en-US" w:eastAsia="zh-CN" w:bidi="ar"/>
              </w:rPr>
              <w:t>全身核磁共振成像检查。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牙周塞治剂或同类产品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1、用于牙周手术后所造成的创面隔离。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牙科全瓷瓷块或同类产品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1、与椅旁修复系统配套使用，用于牙冠制作。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牙科精密附着体或同类产品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1、用于齿科矫形修复。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止血愈创纱或同类产品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、不可吸收的抑菌止血材料。</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、口腔牙周患者手术止血；</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规格：</w:t>
            </w:r>
            <w:r>
              <w:rPr>
                <w:rFonts w:hint="default" w:ascii="Arial" w:hAnsi="Arial" w:eastAsia="宋体" w:cs="Arial"/>
                <w:i w:val="0"/>
                <w:iCs w:val="0"/>
                <w:color w:val="000000"/>
                <w:kern w:val="0"/>
                <w:sz w:val="18"/>
                <w:szCs w:val="18"/>
                <w:u w:val="none"/>
                <w:lang w:val="en-US" w:eastAsia="zh-CN" w:bidi="ar"/>
              </w:rPr>
              <w:t>(20mm~30mm) X ( 20mm~50mm)</w:t>
            </w: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医用胶原蛋白海绵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、用于口腔创面的止血、修复及残腔的充填。</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、体积：</w:t>
            </w:r>
            <w:r>
              <w:rPr>
                <w:rFonts w:hint="default" w:ascii="Arial" w:hAnsi="Arial" w:eastAsia="宋体" w:cs="Arial"/>
                <w:i w:val="0"/>
                <w:iCs w:val="0"/>
                <w:color w:val="000000"/>
                <w:kern w:val="0"/>
                <w:sz w:val="18"/>
                <w:szCs w:val="18"/>
                <w:u w:val="none"/>
                <w:lang w:val="en-US" w:eastAsia="zh-CN" w:bidi="ar"/>
              </w:rPr>
              <w:t>1cm³≤</w:t>
            </w:r>
            <w:r>
              <w:rPr>
                <w:rFonts w:hint="eastAsia" w:ascii="宋体" w:hAnsi="宋体" w:eastAsia="宋体" w:cs="宋体"/>
                <w:i w:val="0"/>
                <w:iCs w:val="0"/>
                <w:color w:val="000000"/>
                <w:kern w:val="0"/>
                <w:sz w:val="18"/>
                <w:szCs w:val="18"/>
                <w:u w:val="none"/>
                <w:lang w:val="en-US" w:eastAsia="zh-CN" w:bidi="ar"/>
              </w:rPr>
              <w:t>体积＜</w:t>
            </w:r>
            <w:r>
              <w:rPr>
                <w:rFonts w:hint="default" w:ascii="Arial" w:hAnsi="Arial" w:eastAsia="宋体" w:cs="Arial"/>
                <w:i w:val="0"/>
                <w:iCs w:val="0"/>
                <w:color w:val="000000"/>
                <w:kern w:val="0"/>
                <w:sz w:val="18"/>
                <w:szCs w:val="18"/>
                <w:u w:val="none"/>
                <w:lang w:val="en-US" w:eastAsia="zh-CN" w:bidi="ar"/>
              </w:rPr>
              <w:t>10cm³</w:t>
            </w: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医用口腔敷料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、用于因口腔炎症、义齿或手术造成的疼痛及创面的辅助治疗。</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、凝胶型及液体型。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核医学科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微量注射器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Arial" w:hAnsi="Arial" w:eastAsia="宋体" w:cs="Arial"/>
                <w:i w:val="0"/>
                <w:iCs w:val="0"/>
                <w:color w:val="000000"/>
                <w:kern w:val="0"/>
                <w:sz w:val="18"/>
                <w:szCs w:val="18"/>
                <w:u w:val="none"/>
                <w:lang w:val="en-US" w:eastAsia="zh-CN" w:bidi="ar"/>
              </w:rPr>
              <w:t>1μL</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、用于回旋加速器产</w:t>
            </w:r>
            <w:r>
              <w:rPr>
                <w:rFonts w:hint="default" w:ascii="Arial" w:hAnsi="Arial" w:eastAsia="宋体" w:cs="Arial"/>
                <w:i w:val="0"/>
                <w:iCs w:val="0"/>
                <w:color w:val="000000"/>
                <w:kern w:val="0"/>
                <w:sz w:val="18"/>
                <w:szCs w:val="18"/>
                <w:u w:val="none"/>
                <w:lang w:val="en-US" w:eastAsia="zh-CN" w:bidi="ar"/>
              </w:rPr>
              <w:t>18F-FDG</w:t>
            </w:r>
            <w:r>
              <w:rPr>
                <w:rFonts w:hint="eastAsia" w:ascii="宋体" w:hAnsi="宋体" w:eastAsia="宋体" w:cs="宋体"/>
                <w:i w:val="0"/>
                <w:iCs w:val="0"/>
                <w:color w:val="000000"/>
                <w:kern w:val="0"/>
                <w:sz w:val="18"/>
                <w:szCs w:val="18"/>
                <w:u w:val="none"/>
                <w:lang w:val="en-US" w:eastAsia="zh-CN" w:bidi="ar"/>
              </w:rPr>
              <w:t>合成、质检。</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、可不作为医疗器械。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核医学科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无菌瓶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、玻璃瓶，规格：</w:t>
            </w:r>
            <w:r>
              <w:rPr>
                <w:rFonts w:hint="default" w:ascii="Arial" w:hAnsi="Arial" w:eastAsia="宋体" w:cs="Arial"/>
                <w:i w:val="0"/>
                <w:iCs w:val="0"/>
                <w:color w:val="000000"/>
                <w:kern w:val="0"/>
                <w:sz w:val="18"/>
                <w:szCs w:val="18"/>
                <w:u w:val="none"/>
                <w:lang w:val="en-US" w:eastAsia="zh-CN" w:bidi="ar"/>
              </w:rPr>
              <w:t>30ml</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、可不作为医疗器械。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妇产科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产后聚血器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、复用产品，可高压灭菌；</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、用于统计产后出血量。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妇产科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离子刀（电刀）刀头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Arial" w:hAnsi="Arial" w:eastAsia="宋体" w:cs="Arial"/>
                <w:i w:val="0"/>
                <w:iCs w:val="0"/>
                <w:snapToGrid w:val="0"/>
                <w:color w:val="000000"/>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、与高频类手术设备配合使用，用于宫颈手术治疗。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放射科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栓塞系统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1、用于分叉部宽颈动脉瘤的治疗。2、用于动脉瘤瘤内栓塞。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放射科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微导管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2、匹配栓塞系统用于分叉部宽颈动脉瘤的治疗。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耳鼻咽喉科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通气引流管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1、用于引流分泌物及通气和平衡中耳压力,减缓咽鼓管压力。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儿科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一次性使用取石网篮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1、用于儿童支气管内异物取出。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儿科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造口袋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1、用于儿童造口排泄物的收集。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bookmarkStart w:id="30" w:name="_GoBack"/>
            <w:bookmarkEnd w:id="30"/>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C1q抗体试剂（免疫组织化学）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C3c抗体试剂（免疫组织化学）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C4c抗体试剂（免疫组织化学）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IgA抗体试剂（免疫组织化学）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IgG抗体试剂（免疫组织化学）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IgM抗体试剂（免疫组织化学）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病理科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纤维蛋白原（Fibrinogen）抗体试剂（免疫组织化学法）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在常规染色基础上进行荧光免疫组织化学染色，用于肾病、肾移植病理检测。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bl>
    <w:p>
      <w:pPr>
        <w:spacing w:before="218" w:line="357" w:lineRule="auto"/>
        <w:ind w:right="14"/>
        <w:rPr>
          <w:rFonts w:hint="eastAsia" w:ascii="仿宋" w:hAnsi="仿宋" w:eastAsia="仿宋" w:cs="仿宋"/>
          <w:spacing w:val="8"/>
          <w:sz w:val="31"/>
          <w:szCs w:val="31"/>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宋体" w:hAnsi="宋体" w:eastAsia="宋体" w:cs="宋体"/>
          <w:sz w:val="22"/>
          <w:szCs w:val="22"/>
        </w:rPr>
      </w:pPr>
      <w:r>
        <w:rPr>
          <w:rFonts w:hint="eastAsia" w:ascii="仿宋" w:hAnsi="仿宋" w:eastAsia="仿宋" w:cs="仿宋"/>
          <w:snapToGrid w:val="0"/>
          <w:color w:val="000000"/>
          <w:spacing w:val="-1"/>
          <w:sz w:val="31"/>
          <w:szCs w:val="31"/>
          <w:lang w:val="en-US" w:eastAsia="zh-CN" w:bidi="ar-SA"/>
        </w:rPr>
        <w:t>二、物资标准、质量要求</w:t>
      </w:r>
    </w:p>
    <w:p>
      <w:pPr>
        <w:pStyle w:val="19"/>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20"/>
        <w:ind w:left="307" w:leftChars="146" w:firstLine="308" w:firstLineChars="100"/>
        <w:jc w:val="left"/>
        <w:rPr>
          <w:rFonts w:ascii="宋体" w:hAnsi="宋体" w:eastAsia="宋体" w:cs="宋体"/>
          <w:kern w:val="0"/>
          <w:sz w:val="22"/>
        </w:rPr>
      </w:pPr>
      <w:r>
        <w:rPr>
          <w:rFonts w:hint="eastAsia" w:ascii="仿宋" w:hAnsi="仿宋" w:eastAsia="仿宋" w:cs="仿宋"/>
          <w:snapToGrid w:val="0"/>
          <w:color w:val="000000"/>
          <w:spacing w:val="-1"/>
          <w:sz w:val="31"/>
          <w:szCs w:val="31"/>
        </w:rPr>
        <w:t>5、</w:t>
      </w:r>
      <w:r>
        <w:rPr>
          <w:rFonts w:hint="eastAsia" w:ascii="仿宋" w:hAnsi="仿宋" w:eastAsia="仿宋" w:cs="仿宋"/>
          <w:snapToGrid w:val="0"/>
          <w:color w:val="000000"/>
          <w:spacing w:val="-1"/>
          <w:kern w:val="0"/>
          <w:sz w:val="31"/>
          <w:szCs w:val="31"/>
          <w:lang w:val="en-US" w:eastAsia="zh-CN" w:bidi="ar-SA"/>
        </w:rPr>
        <w:t>提供国内在用用户名单（可提供发票、合同、送货单等佐证资料）。</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6、医疗器械注册证/备案信息。</w:t>
      </w:r>
    </w:p>
    <w:p>
      <w:pPr>
        <w:pStyle w:val="15"/>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7、生产厂家/上级代理商的证件，包括营业执照、开户许可证、医疗器械（生产/经营）企业许可证/备案凭证。</w:t>
      </w:r>
    </w:p>
    <w:p>
      <w:pPr>
        <w:pStyle w:val="15"/>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8、公司间授权委托书</w:t>
      </w:r>
    </w:p>
    <w:p>
      <w:pPr>
        <w:pStyle w:val="15"/>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9</w:t>
      </w:r>
      <w:r>
        <w:rPr>
          <w:rFonts w:hint="eastAsia" w:ascii="仿宋" w:hAnsi="仿宋" w:eastAsia="仿宋" w:cs="仿宋"/>
          <w:snapToGrid w:val="0"/>
          <w:spacing w:val="-1"/>
          <w:sz w:val="31"/>
          <w:szCs w:val="31"/>
        </w:rPr>
        <w:t>、产品的使用说明书、标签图片、实物图片</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5"/>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绵阳市中心医院采购科邮箱：1477810754@qq.com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1、项目咨询：孙老师   0816-2965392</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2、报名咨询：母老师    15182305417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rPr>
          <w:rFonts w:hint="default"/>
        </w:rPr>
      </w:pPr>
      <w:r>
        <w:rPr>
          <w:rFonts w:cs="宋体"/>
          <w:sz w:val="32"/>
          <w:szCs w:val="32"/>
        </w:rPr>
        <w:t xml:space="preserve">     </w:t>
      </w: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pStyle w:val="15"/>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0"/>
        <w:tblpPr w:leftFromText="180" w:rightFromText="180" w:vertAnchor="text" w:horzAnchor="page" w:tblpX="860" w:tblpY="225"/>
        <w:tblOverlap w:val="never"/>
        <w:tblW w:w="10964" w:type="dxa"/>
        <w:tblInd w:w="0" w:type="dxa"/>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textAlignment w:val="center"/>
              <w:rPr>
                <w:rFonts w:ascii="宋体" w:hAnsi="宋体" w:eastAsia="宋体" w:cs="宋体"/>
                <w:b/>
                <w:bCs/>
                <w:sz w:val="20"/>
                <w:szCs w:val="20"/>
              </w:rPr>
            </w:pPr>
            <w:r>
              <w:rPr>
                <w:rFonts w:hint="eastAsia" w:ascii="宋体" w:hAnsi="宋体" w:eastAsia="宋体" w:cs="宋体"/>
                <w:b/>
                <w:bCs/>
                <w:sz w:val="20"/>
                <w:szCs w:val="20"/>
                <w:lang w:bidi="ar"/>
              </w:rPr>
              <w:t>附件：</w:t>
            </w:r>
          </w:p>
        </w:tc>
      </w:tr>
      <w:tr>
        <w:tblPrEx>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w:t>
            </w:r>
          </w:p>
        </w:tc>
      </w:tr>
      <w:tr>
        <w:tblPrEx>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报价单位(盖章):                             经办人(签字)：           联系电话:                电子邮箱：                 日期:</w:t>
            </w:r>
          </w:p>
        </w:tc>
      </w:tr>
      <w:tr>
        <w:tblPrEx>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16"/>
                <w:szCs w:val="16"/>
              </w:rPr>
            </w:pPr>
            <w:r>
              <w:rPr>
                <w:rFonts w:hint="eastAsia" w:ascii="宋体" w:hAnsi="宋体" w:eastAsia="宋体" w:cs="宋体"/>
                <w:b/>
                <w:bCs/>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tblPrEx>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计价</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包装规格</w:t>
            </w:r>
            <w:r>
              <w:rPr>
                <w:rFonts w:hint="eastAsia" w:ascii="宋体" w:hAnsi="宋体" w:eastAsia="宋体" w:cs="宋体"/>
                <w:b/>
                <w:bCs/>
                <w:sz w:val="16"/>
                <w:szCs w:val="16"/>
                <w:lang w:bidi="ar"/>
              </w:rPr>
              <w:br w:type="textWrapping"/>
            </w:r>
            <w:r>
              <w:rPr>
                <w:rFonts w:hint="eastAsia" w:ascii="宋体" w:hAnsi="宋体" w:eastAsia="宋体" w:cs="宋体"/>
                <w:b/>
                <w:bCs/>
                <w:sz w:val="16"/>
                <w:szCs w:val="16"/>
                <w:lang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sz w:val="16"/>
                <w:szCs w:val="16"/>
              </w:rPr>
            </w:pPr>
            <w:r>
              <w:rPr>
                <w:rFonts w:hint="eastAsia" w:ascii="宋体" w:hAnsi="宋体" w:eastAsia="宋体" w:cs="宋体"/>
                <w:b/>
                <w:bCs/>
                <w:sz w:val="16"/>
                <w:szCs w:val="16"/>
                <w:lang w:bidi="ar"/>
              </w:rPr>
              <w:t>国家医保代码</w:t>
            </w:r>
          </w:p>
        </w:tc>
      </w:tr>
      <w:tr>
        <w:tblPrEx>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rPr>
            </w:pPr>
            <w:r>
              <w:rPr>
                <w:rFonts w:hint="eastAsia" w:ascii="宋体" w:hAnsi="宋体" w:eastAsia="宋体" w:cs="宋体"/>
                <w:sz w:val="16"/>
                <w:szCs w:val="16"/>
                <w:lang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r>
        <w:tblPrEx>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16"/>
                <w:szCs w:val="16"/>
                <w:lang w:bidi="ar"/>
              </w:rPr>
            </w:pPr>
            <w:r>
              <w:rPr>
                <w:rFonts w:hint="eastAsia" w:ascii="宋体" w:hAnsi="宋体" w:eastAsia="宋体" w:cs="宋体"/>
                <w:sz w:val="16"/>
                <w:szCs w:val="16"/>
                <w:lang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16"/>
                <w:szCs w:val="16"/>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
      <w:pPr>
        <w:spacing w:before="224" w:line="226" w:lineRule="auto"/>
        <w:ind w:left="170"/>
        <w:rPr>
          <w:rFonts w:ascii="仿宋" w:hAnsi="仿宋" w:eastAsia="仿宋" w:cs="仿宋"/>
          <w:sz w:val="31"/>
          <w:szCs w:val="31"/>
        </w:rPr>
      </w:pPr>
      <w:r>
        <w:rPr>
          <w:rFonts w:ascii="仿宋" w:hAnsi="仿宋" w:eastAsia="仿宋" w:cs="仿宋"/>
          <w:spacing w:val="8"/>
          <w:sz w:val="31"/>
          <w:szCs w:val="31"/>
        </w:rPr>
        <w:t>授权代理人</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lang w:val="en-US" w:eastAsia="zh-CN"/>
        </w:rPr>
        <w:t>签字</w:t>
      </w:r>
      <w:r>
        <w:rPr>
          <w:rFonts w:ascii="仿宋" w:hAnsi="仿宋" w:eastAsia="仿宋" w:cs="仿宋"/>
          <w:spacing w:val="-4"/>
          <w:sz w:val="31"/>
          <w:szCs w:val="31"/>
        </w:rPr>
        <w:t>)</w:t>
      </w:r>
    </w:p>
    <w:p>
      <w:pPr>
        <w:spacing w:line="176" w:lineRule="exact"/>
      </w:pPr>
    </w:p>
    <w:p>
      <w:pPr>
        <w:pStyle w:val="9"/>
      </w:pP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line="176" w:lineRule="exact"/>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rPr>
          <w:rFonts w:hint="eastAsia" w:ascii="宋体" w:hAnsi="宋体" w:eastAsia="宋体" w:cs="宋体"/>
          <w:color w:val="000000"/>
          <w:kern w:val="0"/>
          <w:sz w:val="24"/>
          <w:szCs w:val="24"/>
        </w:rPr>
      </w:pPr>
    </w:p>
    <w:p>
      <w:pPr>
        <w:rPr>
          <w:rFonts w:hint="eastAsia"/>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kern w:val="0"/>
          <w:sz w:val="24"/>
          <w:szCs w:val="24"/>
        </w:rPr>
      </w:pPr>
    </w:p>
    <w:p>
      <w:pPr>
        <w:pStyle w:val="22"/>
        <w:ind w:firstLine="562"/>
        <w:rPr>
          <w:rFonts w:hint="eastAsia" w:ascii="宋体" w:hAnsi="宋体" w:eastAsia="宋体" w:cs="宋体"/>
          <w:color w:val="000000"/>
          <w:sz w:val="24"/>
          <w:szCs w:val="24"/>
        </w:rPr>
      </w:pPr>
      <w:r>
        <w:rPr>
          <w:rFonts w:hint="eastAsia" w:ascii="宋体" w:hAnsi="宋体" w:eastAsia="宋体" w:cs="宋体"/>
          <w:color w:val="000000"/>
          <w:kern w:val="0"/>
          <w:sz w:val="24"/>
          <w:szCs w:val="24"/>
        </w:rPr>
        <w:t>注：1.</w:t>
      </w:r>
      <w:r>
        <w:rPr>
          <w:rFonts w:hint="eastAsia" w:ascii="宋体" w:hAnsi="宋体" w:eastAsia="宋体" w:cs="宋体"/>
          <w:color w:val="000000"/>
          <w:kern w:val="0"/>
          <w:sz w:val="24"/>
          <w:szCs w:val="24"/>
          <w:lang w:val="en-US" w:eastAsia="zh-CN"/>
        </w:rPr>
        <w:t>附</w:t>
      </w:r>
      <w:r>
        <w:rPr>
          <w:rFonts w:hint="eastAsia" w:ascii="宋体" w:hAnsi="宋体" w:eastAsia="宋体" w:cs="宋体"/>
          <w:color w:val="000000"/>
          <w:sz w:val="24"/>
          <w:szCs w:val="24"/>
        </w:rPr>
        <w:t>法定代表人身份证复印件及授权代表身份证复印件</w:t>
      </w:r>
    </w:p>
    <w:p>
      <w:pPr>
        <w:snapToGrid w:val="0"/>
        <w:spacing w:line="400" w:lineRule="exact"/>
        <w:ind w:firstLine="560"/>
        <w:rPr>
          <w:rFonts w:hint="eastAsia" w:ascii="宋体" w:hAnsi="宋体" w:eastAsia="宋体" w:cs="宋体"/>
          <w:color w:val="000000"/>
          <w:sz w:val="24"/>
          <w:szCs w:val="24"/>
        </w:rPr>
      </w:pPr>
    </w:p>
    <w:p/>
    <w:p/>
    <w:p/>
    <w:p/>
    <w:p/>
    <w:p/>
    <w:p/>
    <w:p/>
    <w:p/>
    <w:p/>
    <w:p/>
    <w:p/>
    <w:p/>
    <w:p/>
    <w:p/>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11832062"/>
      <w:bookmarkStart w:id="3" w:name="_Toc482266098"/>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82266101"/>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11764042"/>
      <w:bookmarkStart w:id="27" w:name="_Toc482266104"/>
      <w:bookmarkStart w:id="28" w:name="_Toc443397367"/>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C9656F-E0CB-4865-8029-B327C07A1218}"/>
  </w:font>
  <w:font w:name="黑体">
    <w:panose1 w:val="02010609060101010101"/>
    <w:charset w:val="86"/>
    <w:family w:val="auto"/>
    <w:pitch w:val="default"/>
    <w:sig w:usb0="800002BF" w:usb1="38CF7CFA" w:usb2="00000016" w:usb3="00000000" w:csb0="00040001" w:csb1="00000000"/>
    <w:embedRegular r:id="rId2" w:fontKey="{374A5060-EC16-4346-8DFE-EDFF9569F3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D28E62AA-56F7-4046-A3CD-05CCFE2D6491}"/>
  </w:font>
  <w:font w:name="仿宋">
    <w:panose1 w:val="02010609060101010101"/>
    <w:charset w:val="86"/>
    <w:family w:val="modern"/>
    <w:pitch w:val="default"/>
    <w:sig w:usb0="800002BF" w:usb1="38CF7CFA" w:usb2="00000016" w:usb3="00000000" w:csb0="00040001" w:csb1="00000000"/>
    <w:embedRegular r:id="rId4" w:fontKey="{0DA5C5CE-6E57-435A-9C88-42CAE3D4CADC}"/>
  </w:font>
  <w:font w:name="方正仿宋_GB2312">
    <w:altName w:val="仿宋"/>
    <w:panose1 w:val="00000000000000000000"/>
    <w:charset w:val="86"/>
    <w:family w:val="auto"/>
    <w:pitch w:val="default"/>
    <w:sig w:usb0="00000000" w:usb1="00000000" w:usb2="00000012" w:usb3="00000000" w:csb0="00040001" w:csb1="00000000"/>
    <w:embedRegular r:id="rId5" w:fontKey="{47876CC5-683A-4480-9ECD-157AD7DF0329}"/>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39763B"/>
    <w:rsid w:val="004039F9"/>
    <w:rsid w:val="00442096"/>
    <w:rsid w:val="00482C27"/>
    <w:rsid w:val="00531697"/>
    <w:rsid w:val="005675DB"/>
    <w:rsid w:val="00663AE2"/>
    <w:rsid w:val="006C6A6B"/>
    <w:rsid w:val="006E0336"/>
    <w:rsid w:val="007974A8"/>
    <w:rsid w:val="0084225C"/>
    <w:rsid w:val="008B247C"/>
    <w:rsid w:val="00940BFD"/>
    <w:rsid w:val="00972DF3"/>
    <w:rsid w:val="00976348"/>
    <w:rsid w:val="00A01BF5"/>
    <w:rsid w:val="00B4687F"/>
    <w:rsid w:val="00BC6A67"/>
    <w:rsid w:val="00CD1667"/>
    <w:rsid w:val="00D05AB1"/>
    <w:rsid w:val="00D50A19"/>
    <w:rsid w:val="00E0002A"/>
    <w:rsid w:val="00E6423C"/>
    <w:rsid w:val="00EE6F82"/>
    <w:rsid w:val="00EF50F9"/>
    <w:rsid w:val="00F03391"/>
    <w:rsid w:val="00F17B69"/>
    <w:rsid w:val="00FE6471"/>
    <w:rsid w:val="01B464A4"/>
    <w:rsid w:val="02720839"/>
    <w:rsid w:val="09026019"/>
    <w:rsid w:val="098C0EB5"/>
    <w:rsid w:val="0EA117CF"/>
    <w:rsid w:val="1E500961"/>
    <w:rsid w:val="201725C8"/>
    <w:rsid w:val="201C087D"/>
    <w:rsid w:val="29276970"/>
    <w:rsid w:val="2ABF096F"/>
    <w:rsid w:val="2CB63FA3"/>
    <w:rsid w:val="2E053A60"/>
    <w:rsid w:val="347627AA"/>
    <w:rsid w:val="3A3A0F35"/>
    <w:rsid w:val="3A7724DE"/>
    <w:rsid w:val="3F7950FB"/>
    <w:rsid w:val="415A08CA"/>
    <w:rsid w:val="44C666DF"/>
    <w:rsid w:val="44FA379B"/>
    <w:rsid w:val="49E04571"/>
    <w:rsid w:val="4A55439E"/>
    <w:rsid w:val="4A83608C"/>
    <w:rsid w:val="4F9D48D9"/>
    <w:rsid w:val="502838B2"/>
    <w:rsid w:val="5A845B89"/>
    <w:rsid w:val="5AA36F07"/>
    <w:rsid w:val="5C33726B"/>
    <w:rsid w:val="61504A17"/>
    <w:rsid w:val="76CF5F86"/>
    <w:rsid w:val="7A47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jc w:val="center"/>
    </w:pPr>
    <w:rPr>
      <w:rFonts w:eastAsia="黑体"/>
      <w:sz w:val="44"/>
    </w:rPr>
  </w:style>
  <w:style w:type="paragraph" w:styleId="6">
    <w:name w:val="footer"/>
    <w:basedOn w:val="1"/>
    <w:link w:val="18"/>
    <w:qFormat/>
    <w:uiPriority w:val="0"/>
    <w:pPr>
      <w:tabs>
        <w:tab w:val="center" w:pos="4153"/>
        <w:tab w:val="right" w:pos="8306"/>
      </w:tabs>
    </w:pPr>
    <w:rPr>
      <w:sz w:val="18"/>
      <w:szCs w:val="18"/>
    </w:rPr>
  </w:style>
  <w:style w:type="paragraph" w:styleId="7">
    <w:name w:val="header"/>
    <w:basedOn w:val="1"/>
    <w:link w:val="17"/>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列出段落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6">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qFormat/>
    <w:uiPriority w:val="0"/>
    <w:rPr>
      <w:rFonts w:ascii="Arial" w:hAnsi="Arial" w:eastAsia="Arial" w:cs="Arial"/>
      <w:snapToGrid w:val="0"/>
      <w:color w:val="000000"/>
      <w:sz w:val="18"/>
      <w:szCs w:val="18"/>
    </w:rPr>
  </w:style>
  <w:style w:type="character" w:customStyle="1" w:styleId="18">
    <w:name w:val="页脚 字符"/>
    <w:basedOn w:val="12"/>
    <w:link w:val="6"/>
    <w:qFormat/>
    <w:uiPriority w:val="0"/>
    <w:rPr>
      <w:rFonts w:ascii="Arial" w:hAnsi="Arial" w:eastAsia="Arial" w:cs="Arial"/>
      <w:snapToGrid w:val="0"/>
      <w:color w:val="000000"/>
      <w:sz w:val="18"/>
      <w:szCs w:val="18"/>
    </w:rPr>
  </w:style>
  <w:style w:type="paragraph" w:styleId="19">
    <w:name w:val="List Paragraph"/>
    <w:basedOn w:val="1"/>
    <w:qFormat/>
    <w:uiPriority w:val="99"/>
    <w:pPr>
      <w:ind w:firstLine="420" w:firstLineChars="200"/>
    </w:p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qFormat/>
    <w:uiPriority w:val="0"/>
    <w:rPr>
      <w:rFonts w:hint="eastAsia" w:ascii="宋体" w:hAnsi="宋体" w:eastAsia="宋体" w:cs="宋体"/>
      <w:color w:val="000000"/>
      <w:sz w:val="18"/>
      <w:szCs w:val="18"/>
      <w:u w:val="none"/>
    </w:rPr>
  </w:style>
  <w:style w:type="paragraph" w:customStyle="1" w:styleId="2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4498</Words>
  <Characters>4620</Characters>
  <Lines>46</Lines>
  <Paragraphs>12</Paragraphs>
  <TotalTime>0</TotalTime>
  <ScaleCrop>false</ScaleCrop>
  <LinksUpToDate>false</LinksUpToDate>
  <CharactersWithSpaces>5605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2023-08-15T03:07:00Z</dcterms:created>
  <dc:creator>Administrator</dc:creator>
  <cp:lastModifiedBy>Yyh</cp:lastModifiedBy>
  <dcterms:modified xsi:type="dcterms:W3CDTF">2023-10-25T02:36:19Z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A8F8299756EC407E9D9AFFF19CC0EBEA_13</vt:lpwstr>
  </property>
</Properties>
</file>