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水壶</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121</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eastAsia="zh-CN"/>
        </w:rPr>
        <w:t>水壶</w:t>
      </w:r>
      <w:r>
        <w:rPr>
          <w:rFonts w:hint="eastAsia"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9"/>
        <w:tblpPr w:leftFromText="180" w:rightFromText="180" w:vertAnchor="text" w:horzAnchor="page" w:tblpX="1653" w:tblpY="154"/>
        <w:tblOverlap w:val="never"/>
        <w:tblW w:w="8736" w:type="dxa"/>
        <w:tblInd w:w="0" w:type="dxa"/>
        <w:tblLayout w:type="fixed"/>
        <w:tblCellMar>
          <w:top w:w="0" w:type="dxa"/>
          <w:left w:w="0" w:type="dxa"/>
          <w:bottom w:w="0" w:type="dxa"/>
          <w:right w:w="0" w:type="dxa"/>
        </w:tblCellMar>
      </w:tblPr>
      <w:tblGrid>
        <w:gridCol w:w="718"/>
        <w:gridCol w:w="729"/>
        <w:gridCol w:w="834"/>
        <w:gridCol w:w="4769"/>
        <w:gridCol w:w="715"/>
        <w:gridCol w:w="971"/>
      </w:tblGrid>
      <w:tr>
        <w:tblPrEx>
          <w:tblCellMar>
            <w:top w:w="0" w:type="dxa"/>
            <w:left w:w="0" w:type="dxa"/>
            <w:bottom w:w="0" w:type="dxa"/>
            <w:right w:w="0" w:type="dxa"/>
          </w:tblCellMar>
        </w:tblPrEx>
        <w:trPr>
          <w:trHeight w:val="1848" w:hRule="atLeast"/>
        </w:trPr>
        <w:tc>
          <w:tcPr>
            <w:tcW w:w="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序号</w:t>
            </w:r>
          </w:p>
        </w:tc>
        <w:tc>
          <w:tcPr>
            <w:tcW w:w="7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产品名称</w:t>
            </w:r>
          </w:p>
        </w:tc>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规格</w:t>
            </w:r>
          </w:p>
        </w:tc>
        <w:tc>
          <w:tcPr>
            <w:tcW w:w="4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产品用途及基本参数</w:t>
            </w:r>
          </w:p>
        </w:tc>
        <w:tc>
          <w:tcPr>
            <w:tcW w:w="7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计价单位</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最高限价/元</w:t>
            </w:r>
          </w:p>
        </w:tc>
      </w:tr>
      <w:tr>
        <w:tblPrEx>
          <w:tblCellMar>
            <w:top w:w="0" w:type="dxa"/>
            <w:left w:w="0" w:type="dxa"/>
            <w:bottom w:w="0" w:type="dxa"/>
            <w:right w:w="0" w:type="dxa"/>
          </w:tblCellMar>
        </w:tblPrEx>
        <w:trPr>
          <w:trHeight w:val="548" w:hRule="atLeast"/>
        </w:trPr>
        <w:tc>
          <w:tcPr>
            <w:tcW w:w="7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7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宋体" w:hAnsi="宋体"/>
                <w:color w:val="000000"/>
                <w:kern w:val="0"/>
                <w:sz w:val="21"/>
                <w:szCs w:val="21"/>
                <w:lang w:val="en-US" w:eastAsia="zh-CN"/>
              </w:rPr>
              <w:t>水壶</w:t>
            </w:r>
          </w:p>
        </w:tc>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2L-4L</w:t>
            </w:r>
          </w:p>
        </w:tc>
        <w:tc>
          <w:tcPr>
            <w:tcW w:w="47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w:t>
            </w:r>
            <w:r>
              <w:rPr>
                <w:rFonts w:hint="eastAsia" w:asciiTheme="minorEastAsia" w:hAnsiTheme="minorEastAsia" w:cstheme="minorEastAsia"/>
                <w:color w:val="000000"/>
                <w:sz w:val="18"/>
                <w:szCs w:val="18"/>
                <w:lang w:val="en-US" w:eastAsia="zh-CN"/>
              </w:rPr>
              <w:t>盛开开水，保温。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基本参数：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（1）健康真空玻璃内胆，不会发生非人为爆炸</w:t>
            </w:r>
            <w:r>
              <w:rPr>
                <w:rFonts w:hint="default"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（2）保温时间大于8小时</w:t>
            </w:r>
            <w:r>
              <w:rPr>
                <w:rFonts w:hint="default"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（3）食品级硅胶圈，密封性好，不漏水；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（4）健康PP壶塞，丢失可免费赠送；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（5）加固提手和把手，方便提和倒水</w:t>
            </w:r>
            <w:r>
              <w:rPr>
                <w:rFonts w:hint="default"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kern w:val="2"/>
                <w:sz w:val="18"/>
                <w:szCs w:val="18"/>
                <w:lang w:val="en-US" w:eastAsia="zh-CN" w:bidi="ar-SA"/>
              </w:rPr>
              <w:t>（6）防滑壶底，材质坚硬耐磕碰，壶底不会轻易脱落。</w:t>
            </w:r>
          </w:p>
        </w:tc>
        <w:tc>
          <w:tcPr>
            <w:tcW w:w="7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个</w:t>
            </w:r>
          </w:p>
        </w:tc>
        <w:tc>
          <w:tcPr>
            <w:tcW w:w="9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60</w:t>
            </w:r>
          </w:p>
        </w:tc>
      </w:tr>
    </w:tbl>
    <w:p>
      <w:pPr>
        <w:spacing w:before="215" w:line="230" w:lineRule="auto"/>
        <w:rPr>
          <w:rFonts w:hint="eastAsia" w:ascii="仿宋" w:hAnsi="仿宋" w:eastAsia="仿宋" w:cs="仿宋"/>
          <w:spacing w:val="-17"/>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9"/>
        <w:tblpPr w:leftFromText="180" w:rightFromText="180" w:vertAnchor="text" w:horzAnchor="page" w:tblpX="1653" w:tblpY="154"/>
        <w:tblOverlap w:val="never"/>
        <w:tblW w:w="8736" w:type="dxa"/>
        <w:tblInd w:w="0" w:type="dxa"/>
        <w:tblLayout w:type="fixed"/>
        <w:tblCellMar>
          <w:top w:w="0" w:type="dxa"/>
          <w:left w:w="0" w:type="dxa"/>
          <w:bottom w:w="0" w:type="dxa"/>
          <w:right w:w="0" w:type="dxa"/>
        </w:tblCellMar>
      </w:tblPr>
      <w:tblGrid>
        <w:gridCol w:w="718"/>
        <w:gridCol w:w="729"/>
        <w:gridCol w:w="834"/>
        <w:gridCol w:w="4769"/>
        <w:gridCol w:w="715"/>
        <w:gridCol w:w="971"/>
      </w:tblGrid>
      <w:tr>
        <w:tblPrEx>
          <w:tblCellMar>
            <w:top w:w="0" w:type="dxa"/>
            <w:left w:w="0" w:type="dxa"/>
            <w:bottom w:w="0" w:type="dxa"/>
            <w:right w:w="0" w:type="dxa"/>
          </w:tblCellMar>
        </w:tblPrEx>
        <w:trPr>
          <w:trHeight w:val="1848" w:hRule="atLeast"/>
        </w:trPr>
        <w:tc>
          <w:tcPr>
            <w:tcW w:w="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序号</w:t>
            </w:r>
          </w:p>
        </w:tc>
        <w:tc>
          <w:tcPr>
            <w:tcW w:w="7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产品名称</w:t>
            </w:r>
          </w:p>
        </w:tc>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规格</w:t>
            </w:r>
          </w:p>
        </w:tc>
        <w:tc>
          <w:tcPr>
            <w:tcW w:w="4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产品用途及基本参数</w:t>
            </w:r>
          </w:p>
        </w:tc>
        <w:tc>
          <w:tcPr>
            <w:tcW w:w="7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计价单位</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最高限价/元</w:t>
            </w:r>
          </w:p>
        </w:tc>
      </w:tr>
      <w:tr>
        <w:tblPrEx>
          <w:tblCellMar>
            <w:top w:w="0" w:type="dxa"/>
            <w:left w:w="0" w:type="dxa"/>
            <w:bottom w:w="0" w:type="dxa"/>
            <w:right w:w="0" w:type="dxa"/>
          </w:tblCellMar>
        </w:tblPrEx>
        <w:trPr>
          <w:trHeight w:val="548" w:hRule="atLeast"/>
        </w:trPr>
        <w:tc>
          <w:tcPr>
            <w:tcW w:w="7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7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宋体" w:hAnsi="宋体"/>
                <w:color w:val="000000"/>
                <w:kern w:val="0"/>
                <w:sz w:val="21"/>
                <w:szCs w:val="21"/>
                <w:lang w:val="en-US" w:eastAsia="zh-CN"/>
              </w:rPr>
              <w:t>水壶</w:t>
            </w:r>
          </w:p>
        </w:tc>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2L-4L</w:t>
            </w:r>
          </w:p>
        </w:tc>
        <w:tc>
          <w:tcPr>
            <w:tcW w:w="47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w:t>
            </w:r>
            <w:r>
              <w:rPr>
                <w:rFonts w:hint="eastAsia" w:asciiTheme="minorEastAsia" w:hAnsiTheme="minorEastAsia" w:cstheme="minorEastAsia"/>
                <w:color w:val="000000"/>
                <w:sz w:val="18"/>
                <w:szCs w:val="18"/>
                <w:lang w:val="en-US" w:eastAsia="zh-CN"/>
              </w:rPr>
              <w:t>盛开开水，保温。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基本参数：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（1）健康真空玻璃内胆，不会发生非人为爆炸</w:t>
            </w:r>
            <w:r>
              <w:rPr>
                <w:rFonts w:hint="default"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（2）保温时间大于8小时</w:t>
            </w:r>
            <w:r>
              <w:rPr>
                <w:rFonts w:hint="default"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（3）食品级硅胶圈，密封性好，不漏水；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（4）健康PP壶塞，丢失可免费赠送；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（5）加固提手和把手，方便提和倒水</w:t>
            </w:r>
            <w:r>
              <w:rPr>
                <w:rFonts w:hint="default"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kern w:val="2"/>
                <w:sz w:val="18"/>
                <w:szCs w:val="18"/>
                <w:lang w:val="en-US" w:eastAsia="zh-CN" w:bidi="ar-SA"/>
              </w:rPr>
              <w:t>（6）防滑壶底，材质坚硬耐磕碰，壶底不会轻易脱落。</w:t>
            </w:r>
          </w:p>
        </w:tc>
        <w:tc>
          <w:tcPr>
            <w:tcW w:w="7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个</w:t>
            </w:r>
          </w:p>
        </w:tc>
        <w:tc>
          <w:tcPr>
            <w:tcW w:w="9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60</w:t>
            </w:r>
          </w:p>
        </w:tc>
      </w:tr>
    </w:tbl>
    <w:p>
      <w:pPr>
        <w:spacing w:before="218" w:line="357" w:lineRule="auto"/>
        <w:ind w:right="14"/>
        <w:rPr>
          <w:rFonts w:hint="eastAsia" w:ascii="仿宋" w:hAnsi="仿宋" w:eastAsia="仿宋" w:cs="仿宋"/>
          <w:spacing w:val="8"/>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r>
        <w:rPr>
          <w:rFonts w:hint="eastAsia" w:ascii="仿宋" w:hAnsi="仿宋" w:eastAsia="仿宋" w:cs="仿宋"/>
          <w:spacing w:val="8"/>
          <w:sz w:val="31"/>
          <w:szCs w:val="31"/>
          <w:lang w:eastAsia="zh-CN"/>
        </w:rPr>
        <w:t>：</w:t>
      </w:r>
    </w:p>
    <w:p>
      <w:pPr>
        <w:spacing w:line="500" w:lineRule="exact"/>
        <w:jc w:val="left"/>
        <w:rPr>
          <w:rFonts w:hint="eastAsia" w:ascii="仿宋" w:hAnsi="仿宋" w:eastAsia="仿宋" w:cs="仿宋"/>
          <w:snapToGrid w:val="0"/>
          <w:color w:val="000000"/>
          <w:spacing w:val="8"/>
          <w:kern w:val="0"/>
          <w:sz w:val="31"/>
          <w:szCs w:val="31"/>
          <w:lang w:val="zh-CN" w:eastAsia="zh-CN" w:bidi="ar-SA"/>
        </w:rPr>
      </w:pPr>
      <w:r>
        <w:rPr>
          <w:rFonts w:hint="eastAsia" w:ascii="仿宋" w:hAnsi="仿宋" w:eastAsia="仿宋" w:cs="仿宋"/>
          <w:snapToGrid w:val="0"/>
          <w:color w:val="000000"/>
          <w:spacing w:val="8"/>
          <w:kern w:val="0"/>
          <w:sz w:val="31"/>
          <w:szCs w:val="31"/>
          <w:lang w:val="zh-CN" w:eastAsia="zh-CN" w:bidi="ar-SA"/>
        </w:rPr>
        <w:t>一、质量要求：</w:t>
      </w:r>
    </w:p>
    <w:p>
      <w:pPr>
        <w:spacing w:line="500" w:lineRule="exact"/>
        <w:jc w:val="left"/>
        <w:rPr>
          <w:rFonts w:hint="eastAsia" w:ascii="仿宋" w:hAnsi="仿宋" w:eastAsia="仿宋" w:cs="仿宋"/>
          <w:snapToGrid w:val="0"/>
          <w:color w:val="000000"/>
          <w:spacing w:val="8"/>
          <w:kern w:val="0"/>
          <w:sz w:val="31"/>
          <w:szCs w:val="31"/>
          <w:lang w:val="zh-CN" w:eastAsia="zh-CN" w:bidi="ar-SA"/>
        </w:rPr>
      </w:pPr>
      <w:r>
        <w:rPr>
          <w:rFonts w:hint="eastAsia" w:ascii="仿宋" w:hAnsi="仿宋" w:eastAsia="仿宋" w:cs="仿宋"/>
          <w:snapToGrid w:val="0"/>
          <w:color w:val="000000"/>
          <w:spacing w:val="8"/>
          <w:kern w:val="0"/>
          <w:sz w:val="31"/>
          <w:szCs w:val="31"/>
          <w:lang w:val="zh-CN" w:eastAsia="zh-CN" w:bidi="ar-SA"/>
        </w:rPr>
        <w:t>（</w:t>
      </w:r>
      <w:r>
        <w:rPr>
          <w:rFonts w:hint="eastAsia" w:ascii="仿宋" w:hAnsi="仿宋" w:eastAsia="仿宋" w:cs="仿宋"/>
          <w:snapToGrid w:val="0"/>
          <w:color w:val="000000"/>
          <w:spacing w:val="8"/>
          <w:kern w:val="0"/>
          <w:sz w:val="31"/>
          <w:szCs w:val="31"/>
          <w:lang w:val="en-US" w:eastAsia="zh-CN" w:bidi="ar-SA"/>
        </w:rPr>
        <w:t>1</w:t>
      </w:r>
      <w:r>
        <w:rPr>
          <w:rFonts w:hint="eastAsia" w:ascii="仿宋" w:hAnsi="仿宋" w:eastAsia="仿宋" w:cs="仿宋"/>
          <w:snapToGrid w:val="0"/>
          <w:color w:val="000000"/>
          <w:spacing w:val="8"/>
          <w:kern w:val="0"/>
          <w:sz w:val="31"/>
          <w:szCs w:val="31"/>
          <w:lang w:val="zh-CN" w:eastAsia="zh-CN" w:bidi="ar-SA"/>
        </w:rPr>
        <w:t>）产品质量应符合国家标准及行业标准，能够提供</w:t>
      </w:r>
      <w:r>
        <w:rPr>
          <w:rFonts w:hint="eastAsia" w:ascii="仿宋" w:hAnsi="仿宋" w:eastAsia="仿宋" w:cs="仿宋"/>
          <w:snapToGrid w:val="0"/>
          <w:color w:val="000000"/>
          <w:spacing w:val="8"/>
          <w:kern w:val="0"/>
          <w:sz w:val="31"/>
          <w:szCs w:val="31"/>
          <w:lang w:val="en-US" w:eastAsia="zh-CN" w:bidi="ar-SA"/>
        </w:rPr>
        <w:t>国</w:t>
      </w:r>
      <w:r>
        <w:rPr>
          <w:rFonts w:hint="eastAsia" w:ascii="仿宋" w:hAnsi="仿宋" w:eastAsia="仿宋" w:cs="仿宋"/>
          <w:snapToGrid w:val="0"/>
          <w:color w:val="000000"/>
          <w:spacing w:val="8"/>
          <w:kern w:val="0"/>
          <w:sz w:val="31"/>
          <w:szCs w:val="31"/>
          <w:lang w:val="zh-CN" w:eastAsia="zh-CN" w:bidi="ar-SA"/>
        </w:rPr>
        <w:t>家认定的质检部门的质量检测报告。</w:t>
      </w:r>
    </w:p>
    <w:p>
      <w:pPr>
        <w:spacing w:line="500" w:lineRule="exact"/>
        <w:jc w:val="left"/>
        <w:rPr>
          <w:rFonts w:hint="eastAsia" w:ascii="仿宋" w:hAnsi="仿宋" w:eastAsia="仿宋" w:cs="仿宋"/>
          <w:snapToGrid w:val="0"/>
          <w:color w:val="000000"/>
          <w:spacing w:val="8"/>
          <w:kern w:val="0"/>
          <w:sz w:val="31"/>
          <w:szCs w:val="31"/>
          <w:lang w:val="zh-CN" w:eastAsia="zh-CN" w:bidi="ar-SA"/>
        </w:rPr>
      </w:pPr>
      <w:r>
        <w:rPr>
          <w:rFonts w:hint="eastAsia" w:ascii="仿宋" w:hAnsi="仿宋" w:eastAsia="仿宋" w:cs="仿宋"/>
          <w:snapToGrid w:val="0"/>
          <w:color w:val="000000"/>
          <w:spacing w:val="8"/>
          <w:kern w:val="0"/>
          <w:sz w:val="31"/>
          <w:szCs w:val="31"/>
          <w:lang w:val="zh-CN" w:eastAsia="zh-CN" w:bidi="ar-SA"/>
        </w:rPr>
        <w:t>（</w:t>
      </w:r>
      <w:r>
        <w:rPr>
          <w:rFonts w:hint="eastAsia" w:ascii="仿宋" w:hAnsi="仿宋" w:eastAsia="仿宋" w:cs="仿宋"/>
          <w:snapToGrid w:val="0"/>
          <w:color w:val="000000"/>
          <w:spacing w:val="8"/>
          <w:kern w:val="0"/>
          <w:sz w:val="31"/>
          <w:szCs w:val="31"/>
          <w:lang w:val="en-US" w:eastAsia="zh-CN" w:bidi="ar-SA"/>
        </w:rPr>
        <w:t>2</w:t>
      </w:r>
      <w:r>
        <w:rPr>
          <w:rFonts w:hint="eastAsia" w:ascii="仿宋" w:hAnsi="仿宋" w:eastAsia="仿宋" w:cs="仿宋"/>
          <w:snapToGrid w:val="0"/>
          <w:color w:val="000000"/>
          <w:spacing w:val="8"/>
          <w:kern w:val="0"/>
          <w:sz w:val="31"/>
          <w:szCs w:val="31"/>
          <w:lang w:val="zh-CN" w:eastAsia="zh-CN" w:bidi="ar-SA"/>
        </w:rPr>
        <w:t>）产品预算控制总价包含产品单价、运费、税费等所有的费用和价格，保证产品达到使用验收状态，采购方无须另行支付任何费用。</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二、验收要求：</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（1）产品保证是包装完好，未使用过的，原装合格产品；</w:t>
      </w:r>
    </w:p>
    <w:p>
      <w:pPr>
        <w:spacing w:line="500" w:lineRule="exact"/>
        <w:jc w:val="left"/>
        <w:rPr>
          <w:rFonts w:hint="eastAsia" w:ascii="仿宋" w:hAnsi="仿宋" w:eastAsia="仿宋" w:cs="仿宋"/>
          <w:snapToGrid w:val="0"/>
          <w:color w:val="000000"/>
          <w:spacing w:val="8"/>
          <w:kern w:val="0"/>
          <w:sz w:val="31"/>
          <w:szCs w:val="31"/>
          <w:lang w:val="zh-CN" w:eastAsia="zh-CN" w:bidi="ar-SA"/>
        </w:rPr>
      </w:pPr>
      <w:r>
        <w:rPr>
          <w:rFonts w:hint="eastAsia" w:ascii="仿宋" w:hAnsi="仿宋" w:eastAsia="仿宋" w:cs="仿宋"/>
          <w:snapToGrid w:val="0"/>
          <w:color w:val="000000"/>
          <w:spacing w:val="8"/>
          <w:kern w:val="0"/>
          <w:sz w:val="31"/>
          <w:szCs w:val="31"/>
          <w:lang w:val="zh-CN" w:eastAsia="zh-CN" w:bidi="ar-SA"/>
        </w:rPr>
        <w:t>（</w:t>
      </w:r>
      <w:r>
        <w:rPr>
          <w:rFonts w:hint="eastAsia" w:ascii="仿宋" w:hAnsi="仿宋" w:eastAsia="仿宋" w:cs="仿宋"/>
          <w:snapToGrid w:val="0"/>
          <w:color w:val="000000"/>
          <w:spacing w:val="8"/>
          <w:kern w:val="0"/>
          <w:sz w:val="31"/>
          <w:szCs w:val="31"/>
          <w:lang w:val="en-US" w:eastAsia="zh-CN" w:bidi="ar-SA"/>
        </w:rPr>
        <w:t>2</w:t>
      </w:r>
      <w:r>
        <w:rPr>
          <w:rFonts w:hint="eastAsia" w:ascii="仿宋" w:hAnsi="仿宋" w:eastAsia="仿宋" w:cs="仿宋"/>
          <w:snapToGrid w:val="0"/>
          <w:color w:val="000000"/>
          <w:spacing w:val="8"/>
          <w:kern w:val="0"/>
          <w:sz w:val="31"/>
          <w:szCs w:val="31"/>
          <w:lang w:val="zh-CN" w:eastAsia="zh-CN" w:bidi="ar-SA"/>
        </w:rPr>
        <w:t>）送货单必须与产品同行。</w:t>
      </w:r>
    </w:p>
    <w:p>
      <w:pPr>
        <w:spacing w:line="500" w:lineRule="exact"/>
        <w:jc w:val="left"/>
        <w:rPr>
          <w:rFonts w:hint="eastAsia" w:ascii="仿宋" w:hAnsi="仿宋" w:eastAsia="仿宋" w:cs="仿宋"/>
          <w:snapToGrid w:val="0"/>
          <w:color w:val="000000"/>
          <w:spacing w:val="8"/>
          <w:kern w:val="0"/>
          <w:sz w:val="31"/>
          <w:szCs w:val="31"/>
          <w:lang w:val="zh-CN" w:eastAsia="zh-CN" w:bidi="ar-SA"/>
        </w:rPr>
      </w:pPr>
      <w:r>
        <w:rPr>
          <w:rFonts w:hint="eastAsia" w:ascii="仿宋" w:hAnsi="仿宋" w:eastAsia="仿宋" w:cs="仿宋"/>
          <w:snapToGrid w:val="0"/>
          <w:color w:val="000000"/>
          <w:spacing w:val="8"/>
          <w:kern w:val="0"/>
          <w:sz w:val="31"/>
          <w:szCs w:val="31"/>
          <w:lang w:val="zh-CN" w:eastAsia="zh-CN" w:bidi="ar-SA"/>
        </w:rPr>
        <w:t>（</w:t>
      </w:r>
      <w:r>
        <w:rPr>
          <w:rFonts w:hint="eastAsia" w:ascii="仿宋" w:hAnsi="仿宋" w:eastAsia="仿宋" w:cs="仿宋"/>
          <w:snapToGrid w:val="0"/>
          <w:color w:val="000000"/>
          <w:spacing w:val="8"/>
          <w:kern w:val="0"/>
          <w:sz w:val="31"/>
          <w:szCs w:val="31"/>
          <w:lang w:val="en-US" w:eastAsia="zh-CN" w:bidi="ar-SA"/>
        </w:rPr>
        <w:t>3</w:t>
      </w:r>
      <w:r>
        <w:rPr>
          <w:rFonts w:hint="eastAsia" w:ascii="仿宋" w:hAnsi="仿宋" w:eastAsia="仿宋" w:cs="仿宋"/>
          <w:snapToGrid w:val="0"/>
          <w:color w:val="000000"/>
          <w:spacing w:val="8"/>
          <w:kern w:val="0"/>
          <w:sz w:val="31"/>
          <w:szCs w:val="31"/>
          <w:lang w:val="zh-CN" w:eastAsia="zh-CN" w:bidi="ar-SA"/>
        </w:rPr>
        <w:t>）送货单上的送货公司必须是乙方，且须使用甲方的送货单模板或包含甲方送货单模板的内容。</w:t>
      </w:r>
    </w:p>
    <w:p>
      <w:pPr>
        <w:spacing w:line="500" w:lineRule="exact"/>
        <w:jc w:val="left"/>
        <w:rPr>
          <w:rFonts w:hint="eastAsia" w:ascii="仿宋" w:hAnsi="仿宋" w:eastAsia="仿宋" w:cs="仿宋"/>
          <w:snapToGrid w:val="0"/>
          <w:color w:val="000000"/>
          <w:spacing w:val="8"/>
          <w:kern w:val="0"/>
          <w:sz w:val="31"/>
          <w:szCs w:val="31"/>
          <w:lang w:val="zh-CN" w:eastAsia="zh-CN" w:bidi="ar-SA"/>
        </w:rPr>
      </w:pPr>
      <w:r>
        <w:rPr>
          <w:rFonts w:hint="eastAsia" w:ascii="仿宋" w:hAnsi="仿宋" w:eastAsia="仿宋" w:cs="仿宋"/>
          <w:snapToGrid w:val="0"/>
          <w:color w:val="000000"/>
          <w:spacing w:val="8"/>
          <w:kern w:val="0"/>
          <w:sz w:val="31"/>
          <w:szCs w:val="31"/>
          <w:lang w:val="zh-CN" w:eastAsia="zh-CN" w:bidi="ar-SA"/>
        </w:rPr>
        <w:t>（</w:t>
      </w:r>
      <w:r>
        <w:rPr>
          <w:rFonts w:hint="eastAsia" w:ascii="仿宋" w:hAnsi="仿宋" w:eastAsia="仿宋" w:cs="仿宋"/>
          <w:snapToGrid w:val="0"/>
          <w:color w:val="000000"/>
          <w:spacing w:val="8"/>
          <w:kern w:val="0"/>
          <w:sz w:val="31"/>
          <w:szCs w:val="31"/>
          <w:lang w:val="en-US" w:eastAsia="zh-CN" w:bidi="ar-SA"/>
        </w:rPr>
        <w:t>4</w:t>
      </w:r>
      <w:r>
        <w:rPr>
          <w:rFonts w:hint="eastAsia" w:ascii="仿宋" w:hAnsi="仿宋" w:eastAsia="仿宋" w:cs="仿宋"/>
          <w:snapToGrid w:val="0"/>
          <w:color w:val="000000"/>
          <w:spacing w:val="8"/>
          <w:kern w:val="0"/>
          <w:sz w:val="31"/>
          <w:szCs w:val="31"/>
          <w:lang w:val="zh-CN" w:eastAsia="zh-CN" w:bidi="ar-SA"/>
        </w:rPr>
        <w:t>）送货单上的产品信息（如产品包装信息等）、实物信息必须与采购计划通知单上的产品信息一致，即“三方信息一致”，信息清晰完整。</w:t>
      </w:r>
    </w:p>
    <w:p>
      <w:pPr>
        <w:spacing w:line="500" w:lineRule="exact"/>
        <w:jc w:val="left"/>
        <w:rPr>
          <w:rFonts w:hint="eastAsia" w:ascii="仿宋" w:hAnsi="仿宋" w:eastAsia="仿宋" w:cs="仿宋"/>
          <w:snapToGrid w:val="0"/>
          <w:color w:val="000000"/>
          <w:spacing w:val="8"/>
          <w:kern w:val="0"/>
          <w:sz w:val="31"/>
          <w:szCs w:val="31"/>
          <w:lang w:val="zh-CN" w:eastAsia="zh-CN" w:bidi="ar-SA"/>
        </w:rPr>
      </w:pPr>
      <w:r>
        <w:rPr>
          <w:rFonts w:hint="eastAsia" w:ascii="仿宋" w:hAnsi="仿宋" w:eastAsia="仿宋" w:cs="仿宋"/>
          <w:snapToGrid w:val="0"/>
          <w:color w:val="000000"/>
          <w:spacing w:val="8"/>
          <w:kern w:val="0"/>
          <w:sz w:val="31"/>
          <w:szCs w:val="31"/>
          <w:lang w:val="zh-CN" w:eastAsia="zh-CN" w:bidi="ar-SA"/>
        </w:rPr>
        <w:t>（</w:t>
      </w:r>
      <w:r>
        <w:rPr>
          <w:rFonts w:hint="eastAsia" w:ascii="仿宋" w:hAnsi="仿宋" w:eastAsia="仿宋" w:cs="仿宋"/>
          <w:snapToGrid w:val="0"/>
          <w:color w:val="000000"/>
          <w:spacing w:val="8"/>
          <w:kern w:val="0"/>
          <w:sz w:val="31"/>
          <w:szCs w:val="31"/>
          <w:lang w:val="en-US" w:eastAsia="zh-CN" w:bidi="ar-SA"/>
        </w:rPr>
        <w:t>5</w:t>
      </w:r>
      <w:r>
        <w:rPr>
          <w:rFonts w:hint="eastAsia" w:ascii="仿宋" w:hAnsi="仿宋" w:eastAsia="仿宋" w:cs="仿宋"/>
          <w:snapToGrid w:val="0"/>
          <w:color w:val="000000"/>
          <w:spacing w:val="8"/>
          <w:kern w:val="0"/>
          <w:sz w:val="31"/>
          <w:szCs w:val="31"/>
          <w:lang w:val="zh-CN" w:eastAsia="zh-CN" w:bidi="ar-SA"/>
        </w:rPr>
        <w:t>）送货单上须有验收人、验收时间的明确签字。</w:t>
      </w:r>
    </w:p>
    <w:p>
      <w:pPr>
        <w:spacing w:line="500" w:lineRule="exact"/>
        <w:jc w:val="left"/>
        <w:rPr>
          <w:rFonts w:hint="eastAsia" w:ascii="仿宋" w:hAnsi="仿宋" w:eastAsia="仿宋" w:cs="仿宋"/>
          <w:snapToGrid w:val="0"/>
          <w:color w:val="000000"/>
          <w:spacing w:val="8"/>
          <w:kern w:val="0"/>
          <w:sz w:val="31"/>
          <w:szCs w:val="31"/>
          <w:lang w:val="zh-CN" w:eastAsia="zh-CN" w:bidi="ar-SA"/>
        </w:rPr>
      </w:pPr>
      <w:r>
        <w:rPr>
          <w:rFonts w:hint="eastAsia" w:ascii="仿宋" w:hAnsi="仿宋" w:eastAsia="仿宋" w:cs="仿宋"/>
          <w:snapToGrid w:val="0"/>
          <w:color w:val="000000"/>
          <w:spacing w:val="8"/>
          <w:kern w:val="0"/>
          <w:sz w:val="31"/>
          <w:szCs w:val="31"/>
          <w:lang w:val="en-US" w:eastAsia="zh-CN" w:bidi="ar-SA"/>
        </w:rPr>
        <w:t>三、</w:t>
      </w:r>
      <w:r>
        <w:rPr>
          <w:rFonts w:hint="eastAsia" w:ascii="仿宋" w:hAnsi="仿宋" w:eastAsia="仿宋" w:cs="仿宋"/>
          <w:snapToGrid w:val="0"/>
          <w:color w:val="000000"/>
          <w:spacing w:val="8"/>
          <w:kern w:val="0"/>
          <w:sz w:val="31"/>
          <w:szCs w:val="31"/>
          <w:lang w:val="zh-CN" w:eastAsia="zh-CN" w:bidi="ar-SA"/>
        </w:rPr>
        <w:t>货款结算方式及期限</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产品验收合格、货物供应、使用过程中无供应商考核等问题，甲方按季度实际采购数量进行账务结算。甲方在收到乙方出具的发票并完善所有的付款手续后30日内向乙方支付季度采购入库货物货款，付款方式：银行转账。</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四、售后服务：</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(1)卖方在接到买方售后通知后，须立即做出响应 (不得超过 2 小时)，卖方问题解决时间&lt;24 小时。卖方应就具体响应时间和质量保障做出书面承诺。</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(2)卖方应保证按投标文件的承诺提供良好的售后服务，有专人负责售后服务 ，按时供货，拥有完善的售后服务体系，提供保障措施。</w:t>
      </w:r>
    </w:p>
    <w:p>
      <w:pPr>
        <w:spacing w:line="500" w:lineRule="exact"/>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(3)乙方承担所供产品的“三包”及售后服务，若因为乙方提供的商品本身存在问题或质保期内的任何问题，甲方可无条件退货，乙方承担因产品质量问题引起的一切后果。</w:t>
      </w:r>
      <w:r>
        <w:rPr>
          <w:rFonts w:hint="eastAsia" w:ascii="仿宋" w:hAnsi="仿宋" w:eastAsia="仿宋" w:cs="仿宋"/>
          <w:snapToGrid w:val="0"/>
          <w:color w:val="000000"/>
          <w:spacing w:val="8"/>
          <w:kern w:val="0"/>
          <w:sz w:val="31"/>
          <w:szCs w:val="31"/>
          <w:lang w:val="en-US" w:eastAsia="zh-CN" w:bidi="ar-SA"/>
        </w:rPr>
        <w:br w:type="textWrapping"/>
      </w:r>
      <w:r>
        <w:rPr>
          <w:rFonts w:hint="eastAsia" w:ascii="仿宋" w:hAnsi="仿宋" w:eastAsia="仿宋" w:cs="仿宋"/>
          <w:snapToGrid w:val="0"/>
          <w:color w:val="000000"/>
          <w:spacing w:val="8"/>
          <w:kern w:val="0"/>
          <w:sz w:val="31"/>
          <w:szCs w:val="31"/>
          <w:lang w:val="en-US" w:eastAsia="zh-CN" w:bidi="ar-SA"/>
        </w:rPr>
        <w:t>(4)质保期1年，7天内内胆不保温可调换</w:t>
      </w:r>
      <w:r>
        <w:rPr>
          <w:rFonts w:hint="eastAsia" w:ascii="仿宋" w:hAnsi="仿宋" w:eastAsia="仿宋" w:cs="仿宋"/>
          <w:snapToGrid w:val="0"/>
          <w:color w:val="000000"/>
          <w:spacing w:val="8"/>
          <w:kern w:val="0"/>
          <w:sz w:val="31"/>
          <w:szCs w:val="31"/>
          <w:lang w:val="zh-CN"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napToGrid w:val="0"/>
          <w:color w:val="000000"/>
          <w:spacing w:val="8"/>
          <w:kern w:val="0"/>
          <w:sz w:val="31"/>
          <w:szCs w:val="31"/>
          <w:lang w:val="en-US" w:eastAsia="zh-CN" w:bidi="ar-SA"/>
        </w:rPr>
        <w:t>五、需提供样品，样品运输自行负责</w:t>
      </w:r>
      <w:r>
        <w:rPr>
          <w:rFonts w:hint="eastAsia" w:ascii="宋体" w:hAnsi="宋体" w:cs="宋体" w:eastAsiaTheme="minorEastAsia"/>
          <w:b/>
          <w:bCs/>
          <w:color w:val="000000"/>
          <w:kern w:val="2"/>
          <w:sz w:val="24"/>
          <w:szCs w:val="24"/>
          <w:highlight w:val="none"/>
          <w:lang w:val="en-US" w:eastAsia="zh-CN" w:bidi="ar-SA"/>
        </w:rPr>
        <w:t>。</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4"/>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7、水壶等相关介绍（样式、品牌</w:t>
      </w:r>
      <w:bookmarkStart w:id="30" w:name="_GoBack"/>
      <w:bookmarkEnd w:id="30"/>
      <w:r>
        <w:rPr>
          <w:rFonts w:hint="eastAsia" w:ascii="仿宋" w:hAnsi="仿宋" w:eastAsia="仿宋" w:cs="仿宋"/>
          <w:snapToGrid w:val="0"/>
          <w:color w:val="000000"/>
          <w:spacing w:val="8"/>
          <w:kern w:val="0"/>
          <w:sz w:val="31"/>
          <w:szCs w:val="31"/>
          <w:lang w:val="en-US" w:eastAsia="zh-CN" w:bidi="ar-SA"/>
        </w:rPr>
        <w:t>等）</w:t>
      </w:r>
    </w:p>
    <w:p>
      <w:pPr>
        <w:pStyle w:val="14"/>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4"/>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val="en-US" w:eastAsia="zh-CN"/>
        </w:rPr>
        <w:t>罗</w:t>
      </w:r>
      <w:r>
        <w:rPr>
          <w:rFonts w:hint="eastAsia" w:ascii="仿宋" w:hAnsi="仿宋" w:eastAsia="仿宋" w:cs="仿宋"/>
          <w:spacing w:val="2"/>
          <w:sz w:val="31"/>
          <w:szCs w:val="31"/>
          <w:lang w:eastAsia="zh-CN"/>
        </w:rPr>
        <w:t>老师   </w:t>
      </w:r>
      <w:r>
        <w:rPr>
          <w:rFonts w:hint="eastAsia" w:ascii="仿宋" w:hAnsi="仿宋" w:eastAsia="仿宋" w:cs="仿宋"/>
          <w:spacing w:val="2"/>
          <w:sz w:val="31"/>
          <w:szCs w:val="31"/>
          <w:lang w:val="en-US" w:eastAsia="zh-CN"/>
        </w:rPr>
        <w:t xml:space="preserve"> 0816-2258955</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2"/>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2"/>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1832062"/>
      <w:bookmarkStart w:id="1" w:name="_Toc13563815"/>
      <w:bookmarkStart w:id="2" w:name="_Toc87974341"/>
      <w:bookmarkStart w:id="3" w:name="_Toc482266098"/>
      <w:bookmarkStart w:id="4" w:name="_Toc443397363"/>
      <w:r>
        <w:rPr>
          <w:rFonts w:hint="eastAsia" w:hAnsi="宋体"/>
          <w:b/>
          <w:color w:val="000000"/>
          <w:sz w:val="28"/>
          <w:szCs w:val="28"/>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82266101"/>
      <w:bookmarkStart w:id="7" w:name="_Toc443397365"/>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479755777"/>
      <w:bookmarkStart w:id="17" w:name="_Toc11231749"/>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82266104"/>
      <w:bookmarkStart w:id="26" w:name="_Toc443397367"/>
      <w:bookmarkStart w:id="27" w:name="_Toc11764042"/>
      <w:bookmarkStart w:id="28" w:name="_Toc13563883"/>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p>
      <w:pPr>
        <w:spacing w:before="217" w:line="224" w:lineRule="auto"/>
        <w:ind w:left="133"/>
        <w:rPr>
          <w:rFonts w:hint="eastAsia" w:ascii="仿宋" w:hAnsi="仿宋" w:eastAsia="仿宋" w:cs="仿宋"/>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EA39B7-38A1-4592-BD2D-28A15A7AAA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6446B7AB-0A35-48B7-9EEB-2228F7F84B2F}"/>
  </w:font>
  <w:font w:name="仿宋">
    <w:panose1 w:val="02010609060101010101"/>
    <w:charset w:val="86"/>
    <w:family w:val="modern"/>
    <w:pitch w:val="default"/>
    <w:sig w:usb0="800002BF" w:usb1="38CF7CFA" w:usb2="00000016" w:usb3="00000000" w:csb0="00040001" w:csb1="00000000"/>
    <w:embedRegular r:id="rId3" w:fontKey="{EF4D7F7C-4DAA-4270-8423-4D6611F615D4}"/>
  </w:font>
  <w:font w:name="方正仿宋_GB2312">
    <w:panose1 w:val="02000000000000000000"/>
    <w:charset w:val="86"/>
    <w:family w:val="auto"/>
    <w:pitch w:val="default"/>
    <w:sig w:usb0="A00002BF" w:usb1="184F6CFA" w:usb2="00000012" w:usb3="00000000" w:csb0="00040001" w:csb1="00000000"/>
    <w:embedRegular r:id="rId4" w:fontKey="{B6CA206D-C568-4F69-A297-8D3918C9B5D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3D5B6A"/>
    <w:rsid w:val="111B1463"/>
    <w:rsid w:val="1E500961"/>
    <w:rsid w:val="201725C8"/>
    <w:rsid w:val="20CA0E8F"/>
    <w:rsid w:val="2CB63FA3"/>
    <w:rsid w:val="3A6927DD"/>
    <w:rsid w:val="3E4C37E1"/>
    <w:rsid w:val="4A6654E6"/>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7"/>
    <w:qFormat/>
    <w:uiPriority w:val="0"/>
    <w:pPr>
      <w:tabs>
        <w:tab w:val="center" w:pos="4153"/>
        <w:tab w:val="right" w:pos="8306"/>
      </w:tabs>
    </w:pPr>
    <w:rPr>
      <w:sz w:val="18"/>
      <w:szCs w:val="18"/>
    </w:rPr>
  </w:style>
  <w:style w:type="paragraph" w:styleId="8">
    <w:name w:val="header"/>
    <w:basedOn w:val="1"/>
    <w:link w:val="16"/>
    <w:qFormat/>
    <w:uiPriority w:val="0"/>
    <w:pPr>
      <w:pBdr>
        <w:bottom w:val="single" w:color="auto" w:sz="6" w:space="1"/>
      </w:pBdr>
      <w:tabs>
        <w:tab w:val="center" w:pos="4153"/>
        <w:tab w:val="right" w:pos="8306"/>
      </w:tabs>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列出段落1"/>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8"/>
    <w:qFormat/>
    <w:uiPriority w:val="0"/>
    <w:rPr>
      <w:rFonts w:ascii="Arial" w:hAnsi="Arial" w:eastAsia="Arial" w:cs="Arial"/>
      <w:snapToGrid w:val="0"/>
      <w:color w:val="000000"/>
      <w:sz w:val="18"/>
      <w:szCs w:val="18"/>
    </w:rPr>
  </w:style>
  <w:style w:type="character" w:customStyle="1" w:styleId="17">
    <w:name w:val="页脚 字符"/>
    <w:basedOn w:val="11"/>
    <w:link w:val="7"/>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6</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2023-10-17T07:09:34Z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