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left="3316" w:leftChars="684" w:hanging="1880" w:hangingChars="500"/>
        <w:rPr>
          <w:rFonts w:hint="eastAsia" w:ascii="黑体" w:hAnsi="黑体" w:eastAsia="黑体" w:cs="黑体"/>
          <w:spacing w:val="7"/>
          <w:sz w:val="36"/>
          <w:szCs w:val="36"/>
          <w:lang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eastAsia="zh-CN"/>
        </w:rPr>
        <w:t>文创产品及IP设计服务</w:t>
      </w:r>
    </w:p>
    <w:p>
      <w:pPr>
        <w:spacing w:line="245" w:lineRule="auto"/>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w:t>
      </w:r>
      <w:r>
        <w:rPr>
          <w:rFonts w:hint="eastAsia" w:ascii="黑体" w:hAnsi="黑体" w:eastAsia="黑体" w:cs="黑体"/>
          <w:spacing w:val="7"/>
          <w:sz w:val="36"/>
          <w:szCs w:val="36"/>
          <w:lang w:val="en-US" w:eastAsia="zh-CN"/>
        </w:rPr>
        <w:t>112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10</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bookmarkStart w:id="30" w:name="_GoBack"/>
      <w:bookmarkEnd w:id="30"/>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u w:val="single"/>
          <w:lang w:eastAsia="zh-CN"/>
        </w:rPr>
        <w:t xml:space="preserve">文创产品及IP设计服务 </w:t>
      </w:r>
      <w:r>
        <w:rPr>
          <w:rFonts w:hint="eastAsia" w:ascii="仿宋" w:hAnsi="仿宋" w:eastAsia="仿宋" w:cs="仿宋"/>
          <w:spacing w:val="5"/>
          <w:sz w:val="31"/>
          <w:szCs w:val="31"/>
          <w:lang w:eastAsia="zh-CN"/>
        </w:rPr>
        <w:t>进行比选采购，欢迎能</w:t>
      </w:r>
      <w:r>
        <w:rPr>
          <w:rFonts w:hint="eastAsia" w:ascii="仿宋" w:hAnsi="仿宋" w:eastAsia="仿宋" w:cs="仿宋"/>
          <w:spacing w:val="8"/>
          <w:sz w:val="31"/>
          <w:szCs w:val="31"/>
        </w:rPr>
        <w:t>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spacing w:before="215" w:line="230" w:lineRule="auto"/>
        <w:rPr>
          <w:rFonts w:hint="eastAsia"/>
          <w:kern w:val="0"/>
          <w:sz w:val="28"/>
          <w:szCs w:val="28"/>
        </w:rPr>
      </w:pPr>
      <w:r>
        <w:rPr>
          <w:rFonts w:hint="eastAsia" w:ascii="仿宋" w:hAnsi="仿宋" w:eastAsia="仿宋" w:cs="仿宋"/>
          <w:spacing w:val="5"/>
          <w:sz w:val="31"/>
          <w:szCs w:val="31"/>
          <w:lang w:eastAsia="zh-CN"/>
        </w:rPr>
        <w:t>医院文化理念体系构建；医院视觉基础设计优化；医院文创产品设计服务</w:t>
      </w:r>
      <w:r>
        <w:rPr>
          <w:rFonts w:hint="eastAsia"/>
          <w:kern w:val="0"/>
          <w:sz w:val="28"/>
          <w:szCs w:val="28"/>
        </w:rPr>
        <w:t>。</w:t>
      </w:r>
    </w:p>
    <w:p>
      <w:pPr>
        <w:numPr>
          <w:ilvl w:val="0"/>
          <w:numId w:val="0"/>
        </w:numPr>
        <w:spacing w:before="215" w:line="230" w:lineRule="auto"/>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keepNext w:val="0"/>
        <w:keepLines w:val="0"/>
        <w:pageBreakBefore w:val="0"/>
        <w:widowControl/>
        <w:kinsoku w:val="0"/>
        <w:wordWrap/>
        <w:overflowPunct/>
        <w:topLinePunct w:val="0"/>
        <w:autoSpaceDE w:val="0"/>
        <w:autoSpaceDN w:val="0"/>
        <w:bidi w:val="0"/>
        <w:adjustRightInd w:val="0"/>
        <w:snapToGrid w:val="0"/>
        <w:spacing w:before="218" w:line="240" w:lineRule="atLeast"/>
        <w:ind w:right="14" w:firstLine="652" w:firstLineChars="200"/>
        <w:textAlignment w:val="baseline"/>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进行医院文化调研、诊断：分别拟定医院文化专项调查问卷领导版、员工版，发放问卷并统计调查结果；调研医院发展历史、整体情况、优势特色和当地地域文化；医院文化专家率队开展一对一访谈，包括医院领导班子、中层管理人员和基层员工；提交医院文化诊断报告，包括医院文化建设当前存在的欠缺，须优化提升方向。</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2、制定医院文化建设规划：制定医院文化建设工作总体目标；制定医院文化建设具体实施计划；制定医院文化建设阶段成果；协助医院完成医院文化建设领导小组的组建框架与分工。</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3、出具医院文化理念体系咨询报告：应包括构建医院发展战略、使命、愿景、价值观体系内容；制定医院对外品牌宣传语；特色文化（子文化）亮点提炼与整理、撰写医院文化建设指南等。</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4、医院基础视觉设计优化：医院logo的优化设计；医院院徽的优化；医院院旗的设计；医院院歌的优化。</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5、医院文化手册编辑设计制作：应包括医院理念体系、基础视觉体系等相关内容编辑；医院发展历史内容呈现；设计印制精美《医院文化手册》。</w:t>
      </w:r>
    </w:p>
    <w:p>
      <w:pPr>
        <w:pStyle w:val="22"/>
        <w:keepNext w:val="0"/>
        <w:keepLines w:val="0"/>
        <w:pageBreakBefore w:val="0"/>
        <w:wordWrap/>
        <w:overflowPunct/>
        <w:topLinePunct w:val="0"/>
        <w:bidi w:val="0"/>
        <w:spacing w:line="240" w:lineRule="auto"/>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6、医院特色文创IP设计：依据医院文化价值体系和行业属性、地域特色，设计医院特色IP；制定医院IP应用场景指南。</w:t>
      </w:r>
    </w:p>
    <w:p>
      <w:pPr>
        <w:keepNext w:val="0"/>
        <w:keepLines w:val="0"/>
        <w:pageBreakBefore w:val="0"/>
        <w:numPr>
          <w:ilvl w:val="0"/>
          <w:numId w:val="0"/>
        </w:numPr>
        <w:wordWrap/>
        <w:overflowPunct/>
        <w:topLinePunct w:val="0"/>
        <w:bidi w:val="0"/>
        <w:spacing w:before="218" w:line="240" w:lineRule="auto"/>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7、医院文化专题培训：举行医院文化建设通识培训（医院领导班子）、医院新文化体系落地培训（管理层）、医院新文化体系落地培训（全员）。</w:t>
      </w:r>
    </w:p>
    <w:p>
      <w:pPr>
        <w:numPr>
          <w:ilvl w:val="0"/>
          <w:numId w:val="0"/>
        </w:numPr>
        <w:spacing w:before="218" w:line="357" w:lineRule="auto"/>
        <w:ind w:left="679" w:leftChars="0" w:right="14" w:rightChars="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2"/>
        <w:keepNext w:val="0"/>
        <w:keepLines w:val="0"/>
        <w:pageBreakBefore w:val="0"/>
        <w:wordWrap/>
        <w:overflowPunct/>
        <w:topLinePunct w:val="0"/>
        <w:bidi w:val="0"/>
        <w:spacing w:line="240" w:lineRule="atLeas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1、签订合同后3-6个月内全面完成。</w:t>
      </w:r>
    </w:p>
    <w:p>
      <w:pPr>
        <w:pStyle w:val="22"/>
        <w:keepNext w:val="0"/>
        <w:keepLines w:val="0"/>
        <w:pageBreakBefore w:val="0"/>
        <w:wordWrap/>
        <w:overflowPunct/>
        <w:topLinePunct w:val="0"/>
        <w:bidi w:val="0"/>
        <w:spacing w:line="240" w:lineRule="atLeas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2、成交供应商需在30日内与采购人签订合同。</w:t>
      </w:r>
    </w:p>
    <w:p>
      <w:pPr>
        <w:keepNext w:val="0"/>
        <w:keepLines w:val="0"/>
        <w:pageBreakBefore w:val="0"/>
        <w:numPr>
          <w:ilvl w:val="0"/>
          <w:numId w:val="0"/>
        </w:numPr>
        <w:wordWrap/>
        <w:overflowPunct/>
        <w:topLinePunct w:val="0"/>
        <w:bidi w:val="0"/>
        <w:spacing w:before="218" w:line="240" w:lineRule="atLeast"/>
        <w:ind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3、付款方式：签订合同后10日内支付90%货款，剩余10%货款在货物验收结束后15天内进行无息支付。</w:t>
      </w:r>
    </w:p>
    <w:p>
      <w:pPr>
        <w:keepNext w:val="0"/>
        <w:keepLines w:val="0"/>
        <w:pageBreakBefore w:val="0"/>
        <w:numPr>
          <w:ilvl w:val="0"/>
          <w:numId w:val="0"/>
        </w:numPr>
        <w:wordWrap/>
        <w:overflowPunct/>
        <w:topLinePunct w:val="0"/>
        <w:bidi w:val="0"/>
        <w:spacing w:before="218" w:line="240" w:lineRule="atLeast"/>
        <w:ind w:right="14" w:rightChars="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2"/>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7、该项目类似相关业绩证明。</w:t>
      </w:r>
    </w:p>
    <w:p>
      <w:pPr>
        <w:pStyle w:val="2"/>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9、设计方案</w:t>
      </w:r>
    </w:p>
    <w:p>
      <w:pPr>
        <w:pStyle w:val="2"/>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2"/>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1、项目咨询：</w:t>
      </w:r>
      <w:r>
        <w:rPr>
          <w:rFonts w:hint="eastAsia" w:ascii="仿宋" w:hAnsi="仿宋" w:eastAsia="仿宋" w:cs="仿宋"/>
          <w:spacing w:val="2"/>
          <w:sz w:val="31"/>
          <w:szCs w:val="31"/>
          <w:lang w:eastAsia="zh-CN"/>
        </w:rPr>
        <w:t>陈</w:t>
      </w:r>
      <w:r>
        <w:rPr>
          <w:rFonts w:hint="eastAsia" w:ascii="仿宋" w:hAnsi="仿宋" w:eastAsia="仿宋" w:cs="仿宋"/>
          <w:spacing w:val="2"/>
          <w:sz w:val="31"/>
          <w:szCs w:val="31"/>
          <w:lang w:val="en-US" w:eastAsia="zh-CN"/>
        </w:rPr>
        <w:t>老师   13778105853</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4"/>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6"/>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3563815"/>
      <w:bookmarkStart w:id="1" w:name="_Toc482266098"/>
      <w:bookmarkStart w:id="2" w:name="_Toc11832062"/>
      <w:bookmarkStart w:id="3" w:name="_Toc87974341"/>
      <w:bookmarkStart w:id="4" w:name="_Toc443397363"/>
      <w:r>
        <w:rPr>
          <w:rFonts w:hint="eastAsia" w:hAnsi="宋体"/>
          <w:b/>
          <w:color w:val="000000"/>
          <w:sz w:val="28"/>
          <w:szCs w:val="28"/>
        </w:rPr>
        <w:t>技术、服务响应表</w:t>
      </w:r>
      <w:bookmarkEnd w:id="0"/>
      <w:bookmarkEnd w:id="1"/>
      <w:bookmarkEnd w:id="2"/>
      <w:bookmarkEnd w:id="3"/>
      <w:bookmarkEnd w:id="4"/>
    </w:p>
    <w:tbl>
      <w:tblPr>
        <w:tblStyle w:val="13"/>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13563879"/>
      <w:bookmarkStart w:id="18" w:name="_Toc479755777"/>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443397367"/>
      <w:bookmarkStart w:id="26" w:name="_Toc13563883"/>
      <w:bookmarkStart w:id="27" w:name="_Toc443393358"/>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3"/>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AF2EED-8B1C-4A43-AFE8-6D913240C5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61658D3-31F8-4E84-AE5B-1734B13313FE}"/>
  </w:font>
  <w:font w:name="仿宋">
    <w:panose1 w:val="02010609060101010101"/>
    <w:charset w:val="86"/>
    <w:family w:val="modern"/>
    <w:pitch w:val="default"/>
    <w:sig w:usb0="800002BF" w:usb1="38CF7CFA" w:usb2="00000016" w:usb3="00000000" w:csb0="00040001" w:csb1="00000000"/>
    <w:embedRegular r:id="rId3" w:fontKey="{773BF592-D55B-4E5F-AE30-63E96AA67CF7}"/>
  </w:font>
  <w:font w:name="方正仿宋_GB2312">
    <w:panose1 w:val="02000000000000000000"/>
    <w:charset w:val="86"/>
    <w:family w:val="auto"/>
    <w:pitch w:val="default"/>
    <w:sig w:usb0="A00002BF" w:usb1="184F6CFA" w:usb2="00000012" w:usb3="00000000" w:csb0="00040001" w:csb1="00000000"/>
    <w:embedRegular r:id="rId4" w:fontKey="{B11F1563-D782-4926-BBB4-84971B935BDA}"/>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B4DA5"/>
    <w:rsid w:val="0B3D5B6A"/>
    <w:rsid w:val="111B1463"/>
    <w:rsid w:val="1E500961"/>
    <w:rsid w:val="201725C8"/>
    <w:rsid w:val="2CB63FA3"/>
    <w:rsid w:val="317B3E11"/>
    <w:rsid w:val="35636275"/>
    <w:rsid w:val="39D53981"/>
    <w:rsid w:val="3A6927DD"/>
    <w:rsid w:val="3B817F35"/>
    <w:rsid w:val="42160A18"/>
    <w:rsid w:val="434165BD"/>
    <w:rsid w:val="4E6879C7"/>
    <w:rsid w:val="4FA976E5"/>
    <w:rsid w:val="58E42340"/>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jc w:val="center"/>
    </w:pPr>
    <w:rPr>
      <w:rFonts w:eastAsia="黑体"/>
      <w:sz w:val="44"/>
      <w:szCs w:val="21"/>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w:basedOn w:val="6"/>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12">
    <w:name w:val="Body Text First Indent 2"/>
    <w:basedOn w:val="7"/>
    <w:next w:val="1"/>
    <w:unhideWhenUsed/>
    <w:qFormat/>
    <w:uiPriority w:val="99"/>
    <w:pPr>
      <w:ind w:firstLine="880" w:firstLineChars="200"/>
    </w:pPr>
    <w:rPr>
      <w:rFonts w:eastAsia="仿宋_GB2312"/>
      <w:szCs w:val="2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列出段落1"/>
    <w:basedOn w:val="1"/>
    <w:qFormat/>
    <w:uiPriority w:val="34"/>
    <w:pPr>
      <w:ind w:firstLine="420" w:firstLineChars="200"/>
    </w:p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5"/>
    <w:link w:val="10"/>
    <w:qFormat/>
    <w:uiPriority w:val="0"/>
    <w:rPr>
      <w:rFonts w:ascii="Arial" w:hAnsi="Arial" w:eastAsia="Arial" w:cs="Arial"/>
      <w:snapToGrid w:val="0"/>
      <w:color w:val="000000"/>
      <w:sz w:val="18"/>
      <w:szCs w:val="18"/>
    </w:rPr>
  </w:style>
  <w:style w:type="character" w:customStyle="1" w:styleId="20">
    <w:name w:val="页脚 字符"/>
    <w:basedOn w:val="15"/>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2</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2023-10-11T00:34:07Z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7624AA398FCA48B29EDE13EC3913FCAA_12</vt:lpwstr>
  </property>
</Properties>
</file>