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项目名称：手机清洗注油机</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109</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手机清洗注油机 </w:t>
      </w:r>
      <w:r>
        <w:rPr>
          <w:rFonts w:hint="eastAsia" w:ascii="仿宋" w:hAnsi="仿宋" w:eastAsia="仿宋" w:cs="仿宋"/>
          <w:spacing w:val="5"/>
          <w:sz w:val="31"/>
          <w:szCs w:val="31"/>
        </w:rPr>
        <w:t>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line="245" w:lineRule="auto"/>
        <w:ind w:firstLine="1304" w:firstLineChars="400"/>
        <w:rPr>
          <w:rFonts w:hint="eastAsia" w:ascii="仿宋" w:hAnsi="仿宋" w:eastAsia="仿宋" w:cs="仿宋"/>
          <w:spacing w:val="8"/>
          <w:sz w:val="31"/>
          <w:szCs w:val="31"/>
        </w:rPr>
      </w:pPr>
      <w:r>
        <w:rPr>
          <w:rFonts w:hint="eastAsia" w:ascii="仿宋" w:hAnsi="仿宋" w:eastAsia="仿宋" w:cs="仿宋"/>
          <w:spacing w:val="8"/>
          <w:sz w:val="31"/>
          <w:szCs w:val="31"/>
        </w:rPr>
        <w:t>手机清洗注油机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2"/>
        <w:ind w:firstLine="978" w:firstLineChars="3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用于牙科手机的清洗、注油。</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w:t>
      </w:r>
      <w:bookmarkStart w:id="30" w:name="_GoBack"/>
      <w:bookmarkEnd w:id="30"/>
      <w:r>
        <w:rPr>
          <w:rFonts w:hint="eastAsia" w:ascii="仿宋" w:hAnsi="仿宋" w:eastAsia="仿宋" w:cs="仿宋"/>
          <w:snapToGrid w:val="0"/>
          <w:color w:val="000000"/>
          <w:spacing w:val="8"/>
          <w:kern w:val="0"/>
          <w:sz w:val="31"/>
          <w:szCs w:val="31"/>
          <w:lang w:val="en-US" w:eastAsia="zh-CN" w:bidi="ar-SA"/>
        </w:rPr>
        <w:t>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11764042"/>
      <w:bookmarkStart w:id="28" w:name="_Toc443393358"/>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32110-A0B1-4A9C-ACE5-161F0676CD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20215F7C-11D3-4F09-AF39-500CDB689B51}"/>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20F0E59D-D87A-4854-8329-EA5960706E75}"/>
  </w:font>
  <w:font w:name="仿宋">
    <w:panose1 w:val="02010609060101010101"/>
    <w:charset w:val="86"/>
    <w:family w:val="modern"/>
    <w:pitch w:val="default"/>
    <w:sig w:usb0="800002BF" w:usb1="38CF7CFA" w:usb2="00000016" w:usb3="00000000" w:csb0="00040001" w:csb1="00000000"/>
    <w:embedRegular r:id="rId4" w:fontKey="{F8BC8080-7EB7-46D0-8A12-9A806570E57A}"/>
  </w:font>
  <w:font w:name="方正仿宋_GB2312">
    <w:panose1 w:val="02000000000000000000"/>
    <w:charset w:val="86"/>
    <w:family w:val="auto"/>
    <w:pitch w:val="default"/>
    <w:sig w:usb0="A00002BF" w:usb1="184F6CFA" w:usb2="00000012" w:usb3="00000000" w:csb0="00040001" w:csb1="00000000"/>
    <w:embedRegular r:id="rId5" w:fontKey="{53621D3A-5A0B-4292-BA87-E8683293CC1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2545C7D"/>
    <w:rsid w:val="29276970"/>
    <w:rsid w:val="2CB63FA3"/>
    <w:rsid w:val="368F3A91"/>
    <w:rsid w:val="43375539"/>
    <w:rsid w:val="490E1F0B"/>
    <w:rsid w:val="4F9D48D9"/>
    <w:rsid w:val="525939B7"/>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11</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2023-09-19T08:03:00Z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7624AA398FCA48B29EDE13EC3913FCAA_12</vt:lpwstr>
  </property>
</Properties>
</file>