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一次性使用无菌皮肤点刺针</w:t>
      </w:r>
      <w:bookmarkEnd w:id="30"/>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107</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一次性使用无菌皮肤点刺针</w:t>
      </w:r>
      <w:r>
        <w:rPr>
          <w:rFonts w:hint="eastAsia" w:ascii="仿宋" w:hAnsi="仿宋" w:eastAsia="仿宋" w:cs="仿宋"/>
          <w:spacing w:val="8"/>
          <w:sz w:val="31"/>
          <w:szCs w:val="31"/>
        </w:rPr>
        <w:t>进</w:t>
      </w:r>
      <w:r>
        <w:rPr>
          <w:rFonts w:ascii="仿宋" w:hAnsi="仿宋" w:eastAsia="仿宋" w:cs="仿宋"/>
          <w:spacing w:val="8"/>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儿科</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一次性使用无菌皮肤点刺针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人基因甲基化检测试剂盒（荧光PCR法）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8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8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血液净化中心静脉导管及附件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心血管内科</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植入式心脏起搏器</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儿科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一次性使用无菌皮肤点刺针</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皮肤过敏反应试验时点刺皮肤用</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人基因甲基化检测试剂盒（荧光PCR法）</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用于体外定性检测人宫颈脱落细胞中ASTN1、DLX1、ITGA4、RXFP3、SOX17、ZNF671基因的甲基化状态。</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血液净化中心静脉导管及附件</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1、用于血液透析、血液滤过或血浆分离置换治疗时获得长期血管通路。2、通过颈内静脉、颈外静脉、锁骨下静脉或股静脉建立通路。</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心血管内科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植入式心脏起搏器</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1、用于治疗心律失常。2、具有RF遥测功能的单腔起搏器。3、具有频率应答功能。</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宋体" w:hAnsi="宋体" w:eastAsia="宋体" w:cs="宋体"/>
          <w:sz w:val="22"/>
          <w:szCs w:val="22"/>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4"/>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
      <w:pPr>
        <w:spacing w:before="224" w:line="226" w:lineRule="auto"/>
        <w:ind w:left="170"/>
        <w:rPr>
          <w:rFonts w:ascii="仿宋" w:hAnsi="仿宋" w:eastAsia="仿宋" w:cs="仿宋"/>
          <w:sz w:val="31"/>
          <w:szCs w:val="31"/>
        </w:rPr>
      </w:pPr>
      <w:r>
        <w:rPr>
          <w:rFonts w:ascii="仿宋" w:hAnsi="仿宋" w:eastAsia="仿宋" w:cs="仿宋"/>
          <w:spacing w:val="8"/>
          <w:sz w:val="31"/>
          <w:szCs w:val="31"/>
        </w:rPr>
        <w:t>授权代理人</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签字</w:t>
      </w:r>
      <w:r>
        <w:rPr>
          <w:rFonts w:ascii="仿宋" w:hAnsi="仿宋" w:eastAsia="仿宋" w:cs="仿宋"/>
          <w:spacing w:val="-4"/>
          <w:sz w:val="31"/>
          <w:szCs w:val="31"/>
        </w:rPr>
        <w:t>)</w:t>
      </w:r>
    </w:p>
    <w:p>
      <w:pPr>
        <w:spacing w:line="176" w:lineRule="exact"/>
      </w:pPr>
    </w:p>
    <w:p>
      <w:pPr>
        <w:pStyle w:val="2"/>
      </w:pP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line="176" w:lineRule="exact"/>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rPr>
          <w:rFonts w:hint="eastAsia" w:ascii="宋体" w:hAnsi="宋体" w:eastAsia="宋体" w:cs="宋体"/>
          <w:color w:val="000000"/>
          <w:kern w:val="0"/>
          <w:sz w:val="24"/>
          <w:szCs w:val="24"/>
        </w:rPr>
      </w:pPr>
    </w:p>
    <w:p>
      <w:pPr>
        <w:rPr>
          <w:rFonts w:hint="eastAsia"/>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sz w:val="24"/>
          <w:szCs w:val="24"/>
        </w:rPr>
      </w:pPr>
      <w:r>
        <w:rPr>
          <w:rFonts w:hint="eastAsia" w:ascii="宋体" w:hAnsi="宋体" w:eastAsia="宋体" w:cs="宋体"/>
          <w:color w:val="000000"/>
          <w:kern w:val="0"/>
          <w:sz w:val="24"/>
          <w:szCs w:val="24"/>
        </w:rPr>
        <w:t>注：1.</w:t>
      </w:r>
      <w:r>
        <w:rPr>
          <w:rFonts w:hint="eastAsia" w:ascii="宋体" w:hAnsi="宋体" w:eastAsia="宋体" w:cs="宋体"/>
          <w:color w:val="000000"/>
          <w:kern w:val="0"/>
          <w:sz w:val="24"/>
          <w:szCs w:val="24"/>
          <w:lang w:val="en-US" w:eastAsia="zh-CN"/>
        </w:rPr>
        <w:t>附</w:t>
      </w:r>
      <w:r>
        <w:rPr>
          <w:rFonts w:hint="eastAsia" w:ascii="宋体" w:hAnsi="宋体" w:eastAsia="宋体" w:cs="宋体"/>
          <w:color w:val="000000"/>
          <w:sz w:val="24"/>
          <w:szCs w:val="24"/>
        </w:rPr>
        <w:t>法定代表人身份证复印件及授权代表身份证复印件</w:t>
      </w:r>
    </w:p>
    <w:p>
      <w:pPr>
        <w:snapToGrid w:val="0"/>
        <w:spacing w:line="400" w:lineRule="exact"/>
        <w:ind w:firstLine="560"/>
        <w:rPr>
          <w:rFonts w:hint="eastAsia" w:ascii="宋体" w:hAnsi="宋体" w:eastAsia="宋体" w:cs="宋体"/>
          <w:color w:val="000000"/>
          <w:sz w:val="24"/>
          <w:szCs w:val="24"/>
        </w:rPr>
      </w:pPr>
    </w:p>
    <w:p/>
    <w:p/>
    <w:p/>
    <w:p/>
    <w:p/>
    <w:p/>
    <w:p/>
    <w:p/>
    <w:p/>
    <w:p/>
    <w:p/>
    <w:p/>
    <w:p/>
    <w:p/>
    <w:p/>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87974341"/>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5"/>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3"/>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3"/>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6"/>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6"/>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6"/>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6"/>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6"/>
        <w:spacing w:line="400" w:lineRule="exact"/>
        <w:ind w:firstLine="480"/>
        <w:rPr>
          <w:rFonts w:ascii="仿宋" w:hAnsi="仿宋" w:eastAsia="仿宋" w:cs="仿宋"/>
          <w:spacing w:val="8"/>
          <w:sz w:val="31"/>
          <w:szCs w:val="31"/>
        </w:rPr>
      </w:pPr>
    </w:p>
    <w:p>
      <w:pPr>
        <w:pStyle w:val="6"/>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6"/>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7367"/>
      <w:bookmarkStart w:id="27" w:name="_Toc13563883"/>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6"/>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5"/>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892242-3981-4FB1-926E-52BB998C9A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60F3C47-0305-4DFE-AF4C-6691D8CE44D4}"/>
  </w:font>
  <w:font w:name="仿宋">
    <w:panose1 w:val="02010609060101010101"/>
    <w:charset w:val="86"/>
    <w:family w:val="modern"/>
    <w:pitch w:val="default"/>
    <w:sig w:usb0="800002BF" w:usb1="38CF7CFA" w:usb2="00000016" w:usb3="00000000" w:csb0="00040001" w:csb1="00000000"/>
    <w:embedRegular r:id="rId3" w:fontKey="{9EA5D154-1607-4F23-AC5E-3FF66DFD33FF}"/>
  </w:font>
  <w:font w:name="方正仿宋_GB2312">
    <w:altName w:val="仿宋"/>
    <w:panose1 w:val="00000000000000000000"/>
    <w:charset w:val="86"/>
    <w:family w:val="auto"/>
    <w:pitch w:val="default"/>
    <w:sig w:usb0="00000000" w:usb1="00000000" w:usb2="00000012" w:usb3="00000000" w:csb0="00040001" w:csb1="00000000"/>
    <w:embedRegular r:id="rId4" w:fontKey="{6180D204-45F0-4206-B09E-A5BA4B1E565D}"/>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9026019"/>
    <w:rsid w:val="098C0EB5"/>
    <w:rsid w:val="1E500961"/>
    <w:rsid w:val="201725C8"/>
    <w:rsid w:val="201C087D"/>
    <w:rsid w:val="29276970"/>
    <w:rsid w:val="2CB63FA3"/>
    <w:rsid w:val="2E053A60"/>
    <w:rsid w:val="347627AA"/>
    <w:rsid w:val="3A3A0F35"/>
    <w:rsid w:val="3A7724DE"/>
    <w:rsid w:val="3F7950FB"/>
    <w:rsid w:val="415A08CA"/>
    <w:rsid w:val="44C666DF"/>
    <w:rsid w:val="44FA379B"/>
    <w:rsid w:val="49E04571"/>
    <w:rsid w:val="4A55439E"/>
    <w:rsid w:val="4A83608C"/>
    <w:rsid w:val="4F9D48D9"/>
    <w:rsid w:val="502838B2"/>
    <w:rsid w:val="5A845B89"/>
    <w:rsid w:val="5AA36F07"/>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3">
    <w:name w:val="Body Text"/>
    <w:basedOn w:val="1"/>
    <w:next w:val="1"/>
    <w:qFormat/>
    <w:uiPriority w:val="0"/>
    <w:pPr>
      <w:jc w:val="center"/>
    </w:pPr>
    <w:rPr>
      <w:rFonts w:eastAsia="黑体"/>
      <w:sz w:val="44"/>
    </w:rPr>
  </w:style>
  <w:style w:type="paragraph" w:styleId="6">
    <w:name w:val="Normal Indent"/>
    <w:basedOn w:val="1"/>
    <w:qFormat/>
    <w:uiPriority w:val="0"/>
    <w:pPr>
      <w:ind w:firstLine="420"/>
    </w:pPr>
    <w:rPr>
      <w:szCs w:val="20"/>
    </w:rPr>
  </w:style>
  <w:style w:type="paragraph" w:styleId="7">
    <w:name w:val="footer"/>
    <w:basedOn w:val="1"/>
    <w:link w:val="18"/>
    <w:qFormat/>
    <w:uiPriority w:val="0"/>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8"/>
    <w:qFormat/>
    <w:uiPriority w:val="0"/>
    <w:rPr>
      <w:rFonts w:ascii="Arial" w:hAnsi="Arial" w:eastAsia="Arial" w:cs="Arial"/>
      <w:snapToGrid w:val="0"/>
      <w:color w:val="000000"/>
      <w:sz w:val="18"/>
      <w:szCs w:val="18"/>
    </w:rPr>
  </w:style>
  <w:style w:type="character" w:customStyle="1" w:styleId="18">
    <w:name w:val="页脚 字符"/>
    <w:basedOn w:val="12"/>
    <w:link w:val="7"/>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 w:type="paragraph" w:customStyle="1" w:styleId="2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1</TotalTime>
  <ScaleCrop>false</ScaleCrop>
  <LinksUpToDate>false</LinksUpToDate>
  <CharactersWithSpaces>5605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Ant .</cp:lastModifiedBy>
  <dcterms:modified xsi:type="dcterms:W3CDTF">2023-09-12T03:31:11Z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E92BBF16AD264F148470C0BBBDDA5BAE_13</vt:lpwstr>
  </property>
</Properties>
</file>