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锗镓发生器等一批设备</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w:t>
      </w:r>
      <w:r>
        <w:rPr>
          <w:rFonts w:hint="eastAsia" w:ascii="黑体" w:hAnsi="黑体" w:eastAsia="黑体" w:cs="黑体"/>
          <w:spacing w:val="7"/>
          <w:sz w:val="36"/>
          <w:szCs w:val="36"/>
          <w:lang w:val="en-US" w:eastAsia="zh-CN"/>
        </w:rPr>
        <w:t>9</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960" w:firstLineChars="3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锗镓发生器等一批设备</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528" w:tblpY="22"/>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bookmarkStart w:id="30" w:name="_GoBack"/>
            <w:bookmarkEnd w:id="30"/>
            <w:r>
              <w:rPr>
                <w:rFonts w:hint="eastAsia" w:cs="宋体" w:asciiTheme="minorEastAsia" w:hAnsiTheme="minorEastAsia"/>
                <w:kern w:val="0"/>
                <w:sz w:val="21"/>
                <w:szCs w:val="21"/>
              </w:rPr>
              <w:t>4</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神经外科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颅脑显微手术器械</w:t>
            </w:r>
          </w:p>
        </w:tc>
        <w:tc>
          <w:tcPr>
            <w:tcW w:w="3686" w:type="dxa"/>
            <w:vAlign w:val="center"/>
          </w:tcPr>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用于颅脑显微手术如颅内占位切除术、颅内动脉瘤夹闭术、颅神经减压术等。</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asciiTheme="minorEastAsia" w:hAnsiTheme="minorEastAsia"/>
                <w:kern w:val="0"/>
                <w:sz w:val="21"/>
                <w:szCs w:val="21"/>
              </w:rPr>
              <w:t>显微剪五</w:t>
            </w:r>
            <w:r>
              <w:rPr>
                <w:rFonts w:hint="eastAsia" w:asciiTheme="minorEastAsia" w:hAnsiTheme="minorEastAsia"/>
                <w:kern w:val="0"/>
                <w:sz w:val="21"/>
                <w:szCs w:val="21"/>
              </w:rPr>
              <w:t>把：包含刺刀状直型显微剪、刺刀状弯型显微剪、直型精细头端显微剪、弯型扁平状弹簧显微剪、枪式显微弯剪五个规格。</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探针（刮匙）一个：球头直型显微探针。</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刮匙（配刮匙手柄）一个：显微器械操作手柄。</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显微钩一个：钝型、45度。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神经外科手术器械（刮匙）一个：探钩直角长头。</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骨膜剥离器一个：弯型、45度。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吸引管三根：包含锥形管腔6FR（长度约250mm</w:t>
            </w:r>
            <w:r>
              <w:rPr>
                <w:rFonts w:asciiTheme="minorEastAsia" w:hAnsiTheme="minorEastAsia"/>
                <w:kern w:val="0"/>
                <w:sz w:val="21"/>
                <w:szCs w:val="21"/>
              </w:rPr>
              <w:t>）</w:t>
            </w:r>
            <w:r>
              <w:rPr>
                <w:rFonts w:hint="eastAsia" w:asciiTheme="minorEastAsia" w:hAnsiTheme="minorEastAsia"/>
                <w:kern w:val="0"/>
                <w:sz w:val="21"/>
                <w:szCs w:val="21"/>
              </w:rPr>
              <w:t>、锥形管腔3FR(长度约185mm)、锥形管腔6FR（长度约185mm）</w:t>
            </w:r>
          </w:p>
          <w:p>
            <w:pPr>
              <w:pStyle w:val="18"/>
              <w:numPr>
                <w:ilvl w:val="0"/>
                <w:numId w:val="2"/>
              </w:numPr>
              <w:spacing w:before="156" w:beforeLines="50" w:after="156" w:afterLines="50"/>
              <w:ind w:firstLineChars="0"/>
              <w:jc w:val="left"/>
              <w:rPr>
                <w:rFonts w:asciiTheme="minorEastAsia" w:hAnsiTheme="minorEastAsia"/>
                <w:kern w:val="0"/>
                <w:sz w:val="21"/>
                <w:szCs w:val="21"/>
              </w:rPr>
            </w:pPr>
            <w:r>
              <w:rPr>
                <w:rFonts w:hint="eastAsia" w:asciiTheme="minorEastAsia" w:hAnsiTheme="minorEastAsia"/>
                <w:kern w:val="0"/>
                <w:sz w:val="21"/>
                <w:szCs w:val="21"/>
              </w:rPr>
              <w:t>显微持针钳两个：弹簧持针器，包含上弯刺刀状、直型刺刀状两个规格。</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26</w:t>
            </w:r>
          </w:p>
        </w:tc>
      </w:tr>
    </w:tbl>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8"/>
          <w:sz w:val="31"/>
          <w:szCs w:val="31"/>
        </w:rPr>
        <w:t xml:space="preserve"> </w:t>
      </w:r>
    </w:p>
    <w:p>
      <w:pPr>
        <w:spacing w:before="218" w:line="357" w:lineRule="auto"/>
        <w:ind w:left="37" w:right="14" w:firstLine="642"/>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pPr w:leftFromText="180" w:rightFromText="180" w:vertAnchor="text" w:horzAnchor="page" w:tblpX="1528" w:tblpY="22"/>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390"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急诊医学科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电动病床</w:t>
            </w:r>
          </w:p>
        </w:tc>
        <w:tc>
          <w:tcPr>
            <w:tcW w:w="3686" w:type="dxa"/>
            <w:vAlign w:val="center"/>
          </w:tcPr>
          <w:p>
            <w:pPr>
              <w:rPr>
                <w:rFonts w:asciiTheme="minorEastAsia" w:hAnsiTheme="minorEastAsia"/>
                <w:kern w:val="0"/>
                <w:sz w:val="21"/>
                <w:szCs w:val="21"/>
              </w:rPr>
            </w:pPr>
            <w:r>
              <w:rPr>
                <w:rFonts w:hint="eastAsia" w:asciiTheme="minorEastAsia" w:hAnsiTheme="minorEastAsia"/>
                <w:kern w:val="0"/>
                <w:sz w:val="21"/>
                <w:szCs w:val="21"/>
              </w:rPr>
              <w:t>设备需满足：背板上折（0-45°）自主半卧翻身、角度显示、手动(CPR)、输液架、整体升降、尾部升降、中控脚轮、精准称重。</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390"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肾病内科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电动手术床</w:t>
            </w:r>
          </w:p>
        </w:tc>
        <w:tc>
          <w:tcPr>
            <w:tcW w:w="3686" w:type="dxa"/>
            <w:vAlign w:val="center"/>
          </w:tcPr>
          <w:p>
            <w:pPr>
              <w:spacing w:before="156" w:beforeLines="50" w:after="156" w:afterLines="50"/>
              <w:jc w:val="left"/>
              <w:rPr>
                <w:rFonts w:asciiTheme="minorEastAsia" w:hAnsiTheme="minorEastAsia"/>
                <w:kern w:val="0"/>
                <w:sz w:val="21"/>
                <w:szCs w:val="21"/>
              </w:rPr>
            </w:pPr>
            <w:r>
              <w:rPr>
                <w:rFonts w:asciiTheme="minorEastAsia" w:hAnsiTheme="minorEastAsia"/>
                <w:kern w:val="0"/>
                <w:sz w:val="21"/>
                <w:szCs w:val="21"/>
              </w:rPr>
              <w:t>需满足肾病内科手术使用</w:t>
            </w:r>
            <w:r>
              <w:rPr>
                <w:rFonts w:hint="eastAsia" w:asciiTheme="minorEastAsia" w:hAnsiTheme="minorEastAsia"/>
                <w:kern w:val="0"/>
                <w:sz w:val="21"/>
                <w:szCs w:val="21"/>
              </w:rPr>
              <w:t>，电动控制，可升降，能调头低足高位，带刹车功能。</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核医学科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锗镓发生器</w:t>
            </w:r>
          </w:p>
        </w:tc>
        <w:tc>
          <w:tcPr>
            <w:tcW w:w="3686" w:type="dxa"/>
            <w:vAlign w:val="center"/>
          </w:tcPr>
          <w:p>
            <w:pPr>
              <w:spacing w:before="156" w:beforeLines="50" w:after="156" w:afterLines="50"/>
              <w:jc w:val="left"/>
              <w:rPr>
                <w:rFonts w:asciiTheme="minorEastAsia" w:hAnsiTheme="minorEastAsia"/>
                <w:kern w:val="0"/>
                <w:sz w:val="21"/>
                <w:szCs w:val="21"/>
              </w:rPr>
            </w:pPr>
            <w:r>
              <w:rPr>
                <w:rFonts w:hint="eastAsia" w:asciiTheme="minorEastAsia" w:hAnsiTheme="minorEastAsia"/>
                <w:kern w:val="0"/>
                <w:sz w:val="21"/>
                <w:szCs w:val="21"/>
              </w:rPr>
              <w:t>能满足生产核素Ga68、正电子核素68Ga在PET显像中的应用。</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1390" w:type="dxa"/>
            <w:vAlign w:val="center"/>
          </w:tcPr>
          <w:p>
            <w:pPr>
              <w:widowControl/>
              <w:spacing w:line="276" w:lineRule="auto"/>
              <w:jc w:val="center"/>
              <w:rPr>
                <w:rFonts w:asciiTheme="minorEastAsia" w:hAnsiTheme="minorEastAsia"/>
                <w:kern w:val="0"/>
                <w:sz w:val="21"/>
                <w:szCs w:val="21"/>
              </w:rPr>
            </w:pPr>
            <w:r>
              <w:rPr>
                <w:rFonts w:asciiTheme="minorEastAsia" w:hAnsiTheme="minorEastAsia"/>
                <w:kern w:val="0"/>
                <w:sz w:val="21"/>
                <w:szCs w:val="21"/>
              </w:rPr>
              <w:t>神经外科</w:t>
            </w:r>
          </w:p>
        </w:tc>
        <w:tc>
          <w:tcPr>
            <w:tcW w:w="1275" w:type="dxa"/>
            <w:vAlign w:val="center"/>
          </w:tcPr>
          <w:p>
            <w:pPr>
              <w:widowControl/>
              <w:spacing w:line="276" w:lineRule="auto"/>
              <w:jc w:val="center"/>
              <w:rPr>
                <w:rFonts w:cs="宋体" w:asciiTheme="minorEastAsia" w:hAnsiTheme="minorEastAsia"/>
                <w:kern w:val="0"/>
                <w:sz w:val="21"/>
                <w:szCs w:val="21"/>
              </w:rPr>
            </w:pPr>
            <w:r>
              <w:rPr>
                <w:rFonts w:cs="宋体" w:asciiTheme="minorEastAsia" w:hAnsiTheme="minorEastAsia"/>
                <w:kern w:val="0"/>
                <w:sz w:val="21"/>
                <w:szCs w:val="21"/>
              </w:rPr>
              <w:t>颅脑显微手术器械</w:t>
            </w:r>
          </w:p>
        </w:tc>
        <w:tc>
          <w:tcPr>
            <w:tcW w:w="3686" w:type="dxa"/>
            <w:vAlign w:val="center"/>
          </w:tcPr>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用于颅脑显微手术如颅内占位切除术、颅内动脉瘤夹闭术、颅神经减压术等。</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asciiTheme="minorEastAsia" w:hAnsiTheme="minorEastAsia"/>
                <w:kern w:val="0"/>
                <w:sz w:val="21"/>
                <w:szCs w:val="21"/>
              </w:rPr>
              <w:t>显微剪五</w:t>
            </w:r>
            <w:r>
              <w:rPr>
                <w:rFonts w:hint="eastAsia" w:asciiTheme="minorEastAsia" w:hAnsiTheme="minorEastAsia"/>
                <w:kern w:val="0"/>
                <w:sz w:val="21"/>
                <w:szCs w:val="21"/>
              </w:rPr>
              <w:t>把：包含刺刀状直型显微剪、刺刀状弯型显微剪、直型精细头端显微剪、弯型扁平状弹簧显微剪、枪式显微弯剪五个规格。</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探针（刮匙）一个：球头直型显微探针。</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刮匙（配刮匙手柄）一个：显微器械操作手柄。</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显微钩一个：钝型、45度。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神经外科手术器械（刮匙）一个：探钩直角长头。</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骨膜剥离器一个：弯型、45度。</w:t>
            </w:r>
          </w:p>
          <w:p>
            <w:pPr>
              <w:pStyle w:val="18"/>
              <w:numPr>
                <w:ilvl w:val="0"/>
                <w:numId w:val="2"/>
              </w:numPr>
              <w:spacing w:before="156" w:beforeLines="50" w:after="156" w:afterLines="50"/>
              <w:ind w:firstLineChars="0"/>
              <w:jc w:val="left"/>
              <w:rPr>
                <w:rFonts w:hint="eastAsia" w:asciiTheme="minorEastAsia" w:hAnsiTheme="minorEastAsia"/>
                <w:kern w:val="0"/>
                <w:sz w:val="21"/>
                <w:szCs w:val="21"/>
              </w:rPr>
            </w:pPr>
            <w:r>
              <w:rPr>
                <w:rFonts w:hint="eastAsia" w:asciiTheme="minorEastAsia" w:hAnsiTheme="minorEastAsia"/>
                <w:kern w:val="0"/>
                <w:sz w:val="21"/>
                <w:szCs w:val="21"/>
              </w:rPr>
              <w:t>吸引管三根：包含锥形管腔6FR（长度约250mm</w:t>
            </w:r>
            <w:r>
              <w:rPr>
                <w:rFonts w:asciiTheme="minorEastAsia" w:hAnsiTheme="minorEastAsia"/>
                <w:kern w:val="0"/>
                <w:sz w:val="21"/>
                <w:szCs w:val="21"/>
              </w:rPr>
              <w:t>）</w:t>
            </w:r>
            <w:r>
              <w:rPr>
                <w:rFonts w:hint="eastAsia" w:asciiTheme="minorEastAsia" w:hAnsiTheme="minorEastAsia"/>
                <w:kern w:val="0"/>
                <w:sz w:val="21"/>
                <w:szCs w:val="21"/>
              </w:rPr>
              <w:t>、锥形管腔3FR(长度约185mm)、锥形管腔6FR（长度约185mm）</w:t>
            </w:r>
          </w:p>
          <w:p>
            <w:pPr>
              <w:pStyle w:val="18"/>
              <w:numPr>
                <w:ilvl w:val="0"/>
                <w:numId w:val="2"/>
              </w:numPr>
              <w:spacing w:before="156" w:beforeLines="50" w:after="156" w:afterLines="50"/>
              <w:ind w:firstLineChars="0"/>
              <w:jc w:val="left"/>
              <w:rPr>
                <w:rFonts w:asciiTheme="minorEastAsia" w:hAnsiTheme="minorEastAsia"/>
                <w:kern w:val="0"/>
                <w:sz w:val="21"/>
                <w:szCs w:val="21"/>
              </w:rPr>
            </w:pPr>
            <w:r>
              <w:rPr>
                <w:rFonts w:hint="eastAsia" w:asciiTheme="minorEastAsia" w:hAnsiTheme="minorEastAsia"/>
                <w:kern w:val="0"/>
                <w:sz w:val="21"/>
                <w:szCs w:val="21"/>
              </w:rPr>
              <w:t>显微持针钳两个：弹簧持针器，包含上弯刺刀状、直型刺刀状两个规格。</w:t>
            </w:r>
          </w:p>
        </w:tc>
        <w:tc>
          <w:tcPr>
            <w:tcW w:w="1035"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20" w:type="dxa"/>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26</w:t>
            </w:r>
          </w:p>
        </w:tc>
      </w:tr>
    </w:tbl>
    <w:p>
      <w:pPr>
        <w:pStyle w:val="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eastAsia="楷体à.ā"/>
          <w:lang w:val="en-US" w:eastAsia="zh-CN"/>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2"/>
      </w:pPr>
    </w:p>
    <w:p>
      <w:pPr>
        <w:pStyle w:val="2"/>
      </w:pPr>
    </w:p>
    <w:p>
      <w:pPr>
        <w:pStyle w:val="2"/>
      </w:pPr>
    </w:p>
    <w:p>
      <w:pPr>
        <w:pStyle w:val="2"/>
      </w:pPr>
    </w:p>
    <w:p>
      <w:pPr>
        <w:pStyle w:val="2"/>
      </w:pPr>
    </w:p>
    <w:p>
      <w:pPr>
        <w:pStyle w:val="2"/>
      </w:pPr>
    </w:p>
    <w:p>
      <w:pPr>
        <w:pStyle w:val="2"/>
      </w:pPr>
    </w:p>
    <w:p>
      <w:pPr>
        <w:pStyle w:val="2"/>
      </w:pPr>
    </w:p>
    <w:p>
      <w:r>
        <w:br w:type="page"/>
      </w:r>
    </w:p>
    <w:p>
      <w:pPr>
        <w:pStyle w:val="2"/>
        <w:sectPr>
          <w:pgSz w:w="11906" w:h="16839"/>
          <w:pgMar w:top="1431" w:right="1356" w:bottom="0" w:left="1260" w:header="0" w:footer="0" w:gutter="0"/>
          <w:cols w:space="720" w:num="1"/>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13563815"/>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3563872"/>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3563883"/>
      <w:bookmarkStart w:id="27" w:name="_Toc443397367"/>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147166-17DD-4AD5-A126-6B84C87C4B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94113ADD-2A6B-4DD7-B9DC-F2F350A8B7B6}"/>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CFECF04C-5F22-4516-AE39-4C06FB22885D}"/>
  </w:font>
  <w:font w:name="仿宋">
    <w:panose1 w:val="02010609060101010101"/>
    <w:charset w:val="86"/>
    <w:family w:val="modern"/>
    <w:pitch w:val="default"/>
    <w:sig w:usb0="800002BF" w:usb1="38CF7CFA" w:usb2="00000016" w:usb3="00000000" w:csb0="00040001" w:csb1="00000000"/>
    <w:embedRegular r:id="rId4" w:fontKey="{BE5E1F29-43A0-4DAF-B0D5-B8AC7C119EAF}"/>
  </w:font>
  <w:font w:name="方正仿宋_GB2312">
    <w:panose1 w:val="02000000000000000000"/>
    <w:charset w:val="86"/>
    <w:family w:val="auto"/>
    <w:pitch w:val="default"/>
    <w:sig w:usb0="A00002BF" w:usb1="184F6CFA" w:usb2="00000012" w:usb3="00000000" w:csb0="00040001" w:csb1="00000000"/>
    <w:embedRegular r:id="rId5" w:fontKey="{B3E2A92C-9DE2-48E3-B2FC-500A8EC5B59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5EF80E67"/>
    <w:multiLevelType w:val="multilevel"/>
    <w:tmpl w:val="5EF80E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490E1F0B"/>
    <w:rsid w:val="4F9D48D9"/>
    <w:rsid w:val="53324B9C"/>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footer"/>
    <w:basedOn w:val="1"/>
    <w:link w:val="17"/>
    <w:qFormat/>
    <w:uiPriority w:val="0"/>
    <w:pPr>
      <w:tabs>
        <w:tab w:val="center" w:pos="4153"/>
        <w:tab w:val="right" w:pos="8306"/>
      </w:tabs>
    </w:pPr>
    <w:rPr>
      <w:sz w:val="18"/>
      <w:szCs w:val="18"/>
    </w:rPr>
  </w:style>
  <w:style w:type="paragraph" w:styleId="7">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qFormat/>
    <w:uiPriority w:val="0"/>
    <w:rPr>
      <w:rFonts w:ascii="Arial" w:hAnsi="Arial" w:eastAsia="Arial" w:cs="Arial"/>
      <w:snapToGrid w:val="0"/>
      <w:color w:val="000000"/>
      <w:sz w:val="18"/>
      <w:szCs w:val="18"/>
    </w:rPr>
  </w:style>
  <w:style w:type="character" w:customStyle="1" w:styleId="17">
    <w:name w:val="页脚 字符"/>
    <w:basedOn w:val="12"/>
    <w:link w:val="6"/>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2023-08-21T02:43:10Z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61B84637CE354496BC41817F1D0436CD_13</vt:lpwstr>
  </property>
</Properties>
</file>