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2"/>
          <w:szCs w:val="32"/>
          <w:lang w:val="en-US" w:eastAsia="zh-CN"/>
        </w:rPr>
        <w:t>轮状病毒检测试剂盒等耗材耗材</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轮状病毒检测试剂盒等耗材耗材</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W w:w="9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3853"/>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包号</w:t>
            </w:r>
          </w:p>
        </w:tc>
        <w:tc>
          <w:tcPr>
            <w:tcW w:w="3853"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使用科室</w:t>
            </w:r>
          </w:p>
        </w:tc>
        <w:tc>
          <w:tcPr>
            <w:tcW w:w="4419"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1"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医学检验科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轮状病毒检测试剂盒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6"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2</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疼痛科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一次性使用麻醉用针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6"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3</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口腔科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丁腈手套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6"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4</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手术室、妇科、肝胆、神外等</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可吸收止血纱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3"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5</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门诊口腔,口腔科,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定制式矫治器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6</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门诊口腔,口腔科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定制式固定义齿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7</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心胸外科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一次性使用灌注管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8</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超声医学科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一次性使用穿刺针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6"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9</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麻醉科,重症医学 一科,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一次性使用体外循环管道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10</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口腔科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牙胶尖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11</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普通外科,神经内科病区,肿瘤一科,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微量泵延长管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8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12</w:t>
            </w:r>
          </w:p>
        </w:tc>
        <w:tc>
          <w:tcPr>
            <w:tcW w:w="3853"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急诊医学科,心血管内科</w:t>
            </w:r>
          </w:p>
        </w:tc>
        <w:tc>
          <w:tcPr>
            <w:tcW w:w="4419"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bdr w:val="none" w:color="auto" w:sz="0" w:space="0"/>
                <w:lang w:val="en-US" w:eastAsia="zh-CN" w:bidi="ar"/>
              </w:rPr>
              <w:t>心肺功能五项联检试剂盒、心肌损伤三项联检试剂盒</w:t>
            </w:r>
          </w:p>
        </w:tc>
      </w:tr>
    </w:tbl>
    <w:p>
      <w:pPr>
        <w:pStyle w:val="19"/>
        <w:numPr>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06" w:type="pct"/>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412"/>
        <w:gridCol w:w="1736"/>
        <w:gridCol w:w="2818"/>
        <w:gridCol w:w="3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序号</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使用科室</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耗材名称</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产品用途及技术要求</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医学检验科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轮状病毒检测试剂盒</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本产品用于体外定性检测人粪便中的轮状病毒抗原。</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1、在《四川省药械集中采购及医药价格监管平台》价格联动挂网专区挂网的产品优先；2、可计费材料医保码在四川省医保局可查询；3、提供同级医院使用情况（发票、合同、送货记录）≥3家；4、提供样品。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疼痛科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一次性使用麻醉用针</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1、用于患者施行麻醉时穿刺、注射药物用； 2、单针包装。</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口腔科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丁腈手套</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用于戴在医生手上对患者病情进行检查。</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手术室、妇科、肝胆、神外等</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可吸收止血纱</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1、材质：再生氧化纤维素；2、 辅助用品控制毛细血管、静脉和小动脉的出血。</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门诊口腔,口腔科,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定制式矫治器</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1、规格：牵引钩；2、口腔错颌畸形的矫治。</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9"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门诊口腔,口腔科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定制式固定义齿</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1、规格：基台研磨，金属合金冠、桥；2、用于牙列缺损或牙体缺损的固定修复</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2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心胸外科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一次性使用灌注管</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用于体外循环连接患者动脉与血液停跳液灌注装置。</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超声医学科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一次性使用穿刺针</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用于对人体（不包括腰椎、血管、脑室、骨骼）进行经皮穿刺</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7"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麻醉科,重症医学 一科,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一次性使用体外循环管道</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1、含成人型、儿童型、婴儿型。2、用于</w:t>
            </w:r>
            <w:r>
              <w:rPr>
                <w:rStyle w:val="21"/>
                <w:rFonts w:hint="eastAsia"/>
                <w:lang w:val="en-US" w:eastAsia="zh-CN" w:bidi="ar"/>
              </w:rPr>
              <w:t>心脏手术建立</w:t>
            </w:r>
            <w:r>
              <w:rPr>
                <w:rStyle w:val="21"/>
                <w:lang w:val="en-US" w:eastAsia="zh-CN" w:bidi="ar"/>
              </w:rPr>
              <w:t>体外循环血液通道。</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口腔科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牙胶尖</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用于牙髓炎及根尖周围组织疾病根管填充。</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普通外科,神经内科病区,肿瘤一科,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微量泵延长管</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同微量注射泵配套，装配一次性使用静脉输液针后，供人体微量输注药液用，也可用于管路长度不够时，加长管路用</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急诊医学科,心血管内科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心肺功能五项联检试剂盒、心肌损伤三项联检试剂盒</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1、用于体外定量检测人体血浆或全血中肌酸激酶同工酶、肌红蛋白、肌钙蛋白等的含量。2、</w:t>
            </w:r>
            <w:r>
              <w:rPr>
                <w:rFonts w:hint="eastAsia" w:ascii="宋体" w:hAnsi="宋体" w:eastAsia="宋体" w:cs="宋体"/>
                <w:i w:val="0"/>
                <w:iCs w:val="0"/>
                <w:color w:val="000000"/>
                <w:kern w:val="0"/>
                <w:sz w:val="18"/>
                <w:szCs w:val="18"/>
                <w:u w:val="none"/>
                <w:lang w:val="en-US" w:eastAsia="zh-CN" w:bidi="ar"/>
              </w:rPr>
              <w:t>提供配套设备报价。</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20"/>
        <w:ind w:left="307" w:leftChars="146" w:firstLine="308" w:firstLineChars="100"/>
        <w:jc w:val="left"/>
        <w:rPr>
          <w:rFonts w:hint="default" w:ascii="宋体" w:hAnsi="宋体" w:eastAsia="宋体" w:cs="宋体"/>
          <w:kern w:val="0"/>
          <w:sz w:val="22"/>
          <w:szCs w:val="22"/>
          <w:lang w:val="en-US" w:eastAsia="zh-CN"/>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产品的价格佐证资料：提供省内外医院产品使用发票、合同或送货记录情况≥3家</w:t>
      </w:r>
    </w:p>
    <w:p>
      <w:pPr>
        <w:pStyle w:val="15"/>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5"/>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11832062"/>
      <w:bookmarkStart w:id="3" w:name="_Toc482266098"/>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3563883"/>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8AB90E-30A3-4649-8F39-AD1890F9F1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CEFB5FA-C2B7-4225-A989-D73A3EC7D7FD}"/>
  </w:font>
  <w:font w:name="仿宋">
    <w:panose1 w:val="02010609060101010101"/>
    <w:charset w:val="86"/>
    <w:family w:val="modern"/>
    <w:pitch w:val="default"/>
    <w:sig w:usb0="800002BF" w:usb1="38CF7CFA" w:usb2="00000016" w:usb3="00000000" w:csb0="00040001" w:csb1="00000000"/>
    <w:embedRegular r:id="rId3" w:fontKey="{78A5DEE2-8C89-407A-B74F-A83B55A70297}"/>
  </w:font>
  <w:font w:name="方正仿宋_GB2312">
    <w:panose1 w:val="02000000000000000000"/>
    <w:charset w:val="86"/>
    <w:family w:val="auto"/>
    <w:pitch w:val="default"/>
    <w:sig w:usb0="A00002BF" w:usb1="184F6CFA" w:usb2="00000012" w:usb3="00000000" w:csb0="00040001" w:csb1="00000000"/>
    <w:embedRegular r:id="rId4" w:fontKey="{AB0FF9FC-5A76-4951-B86A-92BF4BB1AEF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E500961"/>
    <w:rsid w:val="201725C8"/>
    <w:rsid w:val="26ED7BDF"/>
    <w:rsid w:val="29276970"/>
    <w:rsid w:val="2CB63FA3"/>
    <w:rsid w:val="327718A3"/>
    <w:rsid w:val="44C666DF"/>
    <w:rsid w:val="46A00372"/>
    <w:rsid w:val="4A55439E"/>
    <w:rsid w:val="4A83608C"/>
    <w:rsid w:val="4F9D48D9"/>
    <w:rsid w:val="5C33726B"/>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8"/>
    <w:qFormat/>
    <w:uiPriority w:val="0"/>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8"/>
    <w:qFormat/>
    <w:uiPriority w:val="0"/>
    <w:rPr>
      <w:rFonts w:ascii="Arial" w:hAnsi="Arial" w:eastAsia="Arial" w:cs="Arial"/>
      <w:snapToGrid w:val="0"/>
      <w:color w:val="000000"/>
      <w:sz w:val="18"/>
      <w:szCs w:val="18"/>
    </w:rPr>
  </w:style>
  <w:style w:type="character" w:customStyle="1" w:styleId="18">
    <w:name w:val="页脚 字符"/>
    <w:basedOn w:val="12"/>
    <w:link w:val="7"/>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11"/>
    <w:basedOn w:val="12"/>
    <w:qFormat/>
    <w:uiPriority w:val="0"/>
    <w:rPr>
      <w:rFonts w:hint="eastAsia" w:ascii="宋体" w:hAnsi="宋体" w:eastAsia="宋体" w:cs="宋体"/>
      <w:color w:val="000000"/>
      <w:sz w:val="18"/>
      <w:szCs w:val="18"/>
      <w:u w:val="none"/>
    </w:rPr>
  </w:style>
  <w:style w:type="character" w:customStyle="1" w:styleId="22">
    <w:name w:val="font01"/>
    <w:basedOn w:val="12"/>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6866</Words>
  <Characters>6971</Characters>
  <Lines>11</Lines>
  <Paragraphs>3</Paragraphs>
  <TotalTime>1</TotalTime>
  <ScaleCrop>false</ScaleCrop>
  <LinksUpToDate>false</LinksUpToDate>
  <CharactersWithSpaces>8050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2023-08-17T02:48:52Z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5F8BA07FEB9C40A6830D470C42216A25_13</vt:lpwstr>
  </property>
</Properties>
</file>