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病房扩建设计服务</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91</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eastAsia="zh-CN"/>
        </w:rPr>
        <w:t>病房扩建设计服务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5" w:line="230" w:lineRule="auto"/>
        <w:ind w:left="44" w:firstLine="640" w:firstLineChars="200"/>
        <w:rPr>
          <w:rFonts w:hint="eastAsia" w:ascii="仿宋" w:hAnsi="仿宋" w:eastAsia="仿宋" w:cs="仿宋"/>
          <w:spacing w:val="5"/>
          <w:sz w:val="31"/>
          <w:szCs w:val="31"/>
          <w:lang w:eastAsia="zh-CN"/>
        </w:rPr>
      </w:pPr>
      <w:r>
        <w:rPr>
          <w:rFonts w:hint="eastAsia" w:ascii="仿宋" w:hAnsi="仿宋" w:eastAsia="仿宋" w:cs="仿宋"/>
          <w:spacing w:val="5"/>
          <w:sz w:val="31"/>
          <w:szCs w:val="31"/>
          <w:lang w:eastAsia="zh-CN"/>
        </w:rPr>
        <w:t>病房扩建设计服务，</w:t>
      </w:r>
      <w:r>
        <w:rPr>
          <w:rFonts w:hint="default" w:ascii="仿宋" w:hAnsi="仿宋" w:eastAsia="仿宋" w:cs="仿宋"/>
          <w:spacing w:val="5"/>
          <w:sz w:val="31"/>
          <w:szCs w:val="31"/>
          <w:lang w:val="en-US" w:eastAsia="zh-CN"/>
        </w:rPr>
        <w:t>设置符合《重症医学科建设与管理指南(试行)》要求，科室建筑布局、功能流程合理，达到III级洁净辅助用房标准。根据前期调研情况，该建设工作涉及装饰装修专业（含拆除等）、给排水专业、强弱电专业、暖通专业、消防专业、净化工程、等专业领域的设计工作</w:t>
      </w:r>
      <w:r>
        <w:rPr>
          <w:rFonts w:hint="eastAsia" w:ascii="仿宋" w:hAnsi="仿宋" w:eastAsia="仿宋" w:cs="仿宋"/>
          <w:spacing w:val="5"/>
          <w:sz w:val="31"/>
          <w:szCs w:val="31"/>
          <w:lang w:val="en-US" w:eastAsia="zh-CN"/>
        </w:rPr>
        <w:t>。</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pStyle w:val="2"/>
        <w:rPr>
          <w:rFonts w:hint="default" w:ascii="仿宋" w:hAnsi="仿宋" w:eastAsia="仿宋" w:cs="仿宋"/>
          <w:b w:val="0"/>
          <w:bCs w:val="0"/>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 xml:space="preserve">   </w:t>
      </w:r>
      <w:r>
        <w:rPr>
          <w:rFonts w:hint="eastAsia" w:ascii="仿宋" w:hAnsi="仿宋" w:eastAsia="仿宋" w:cs="仿宋"/>
          <w:b w:val="0"/>
          <w:bCs w:val="0"/>
          <w:snapToGrid w:val="0"/>
          <w:color w:val="000000"/>
          <w:spacing w:val="8"/>
          <w:kern w:val="0"/>
          <w:sz w:val="31"/>
          <w:szCs w:val="31"/>
          <w:lang w:val="en-US" w:eastAsia="zh-CN" w:bidi="ar-SA"/>
        </w:rPr>
        <w:t xml:space="preserve"> 8、</w:t>
      </w:r>
      <w:r>
        <w:rPr>
          <w:rFonts w:hint="eastAsia" w:ascii="仿宋" w:hAnsi="仿宋" w:eastAsia="仿宋" w:cs="仿宋"/>
          <w:b w:val="0"/>
          <w:bCs w:val="0"/>
          <w:snapToGrid w:val="0"/>
          <w:color w:val="000000"/>
          <w:spacing w:val="8"/>
          <w:kern w:val="0"/>
          <w:sz w:val="31"/>
          <w:szCs w:val="31"/>
          <w:lang w:val="en-US" w:eastAsia="zh-CN" w:bidi="ar-SA"/>
        </w:rPr>
        <w:t>建筑行业（建筑工程）乙级及以上资质。</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1、本项目设计必须符合国家现行ICU设计相关法律及规范要求，并满足医院实际使用要求。</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2、本次投标为设计方案。</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3、设计方案应从设计的适用性、经济性（要结合造价控制和选材控制），布置的合理性来综合考虑。</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4、提供移植病房扩增改造方案平面设计图。</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5、设计方案概算书。</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6、中标单位在中标后，按医院要求进行施工图设计及编制施工图预算，工作时间为15个工作日。</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7、须保持原建筑物结构，严禁破坏、拆除原房屋承重梁、板、柱、剪力墙等。</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8、资格预审完成后，我院统一组织资格预审合格人现场踏勘，潜在投标人要充分跟手术室负责人进行沟通，以便进一步准确熟悉并掌握使用科室具体需求，以及各种功能手术间的数量等情况（包括场地情况和技术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1、成交供应商需在30日内与采购人签订合同。</w:t>
      </w:r>
    </w:p>
    <w:p>
      <w:pPr>
        <w:spacing w:before="218" w:line="357" w:lineRule="auto"/>
        <w:ind w:left="37" w:right="14" w:firstLine="642"/>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2、工期要求：合同签订后15个工作日完成方案设计修改及施工图设计，并按招标人要求在约定时间内完成设计修改与补充。</w:t>
      </w:r>
    </w:p>
    <w:p>
      <w:pPr>
        <w:spacing w:before="218" w:line="357" w:lineRule="auto"/>
        <w:ind w:left="37" w:right="14" w:firstLine="642"/>
        <w:rPr>
          <w:rFonts w:ascii="仿宋" w:hAnsi="仿宋" w:eastAsia="仿宋" w:cs="仿宋"/>
          <w:sz w:val="31"/>
          <w:szCs w:val="31"/>
        </w:rPr>
      </w:pPr>
      <w:r>
        <w:rPr>
          <w:rFonts w:hint="eastAsia" w:ascii="仿宋" w:hAnsi="仿宋" w:eastAsia="仿宋" w:cs="仿宋"/>
          <w:color w:val="000000"/>
          <w:kern w:val="0"/>
          <w:sz w:val="28"/>
          <w:szCs w:val="28"/>
          <w:lang w:val="en-US" w:eastAsia="zh-CN"/>
        </w:rPr>
        <w:t>3、付款方式：设计方案经招标人确认并完成施工图设计后支付合同价款的90%；工程竣工验收合格后28日内支付合同金额的10%。</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7、该项目类似相关业绩证明两个。</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8、设计方案。</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银</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0816-2229106</w:t>
      </w:r>
      <w:bookmarkStart w:id="30" w:name="_GoBack"/>
      <w:bookmarkEnd w:id="30"/>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443397363"/>
      <w:bookmarkStart w:id="2" w:name="_Toc13563815"/>
      <w:bookmarkStart w:id="3" w:name="_Toc87974341"/>
      <w:bookmarkStart w:id="4" w:name="_Toc482266098"/>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11764032"/>
      <w:bookmarkStart w:id="7" w:name="_Toc1356387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1764040"/>
      <w:bookmarkStart w:id="22" w:name="_Toc13563881"/>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1764042"/>
      <w:bookmarkStart w:id="26" w:name="_Toc482266104"/>
      <w:bookmarkStart w:id="27" w:name="_Toc13563883"/>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97F14B-9027-4956-8297-0A89B85A3D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à.ā">
    <w:altName w:val="宋体"/>
    <w:panose1 w:val="00000000000000000000"/>
    <w:charset w:val="86"/>
    <w:family w:val="decorative"/>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F46C0A6-A3AD-449C-B2AB-4487C821BE0C}"/>
  </w:font>
  <w:font w:name="仿宋">
    <w:panose1 w:val="02010609060101010101"/>
    <w:charset w:val="86"/>
    <w:family w:val="modern"/>
    <w:pitch w:val="default"/>
    <w:sig w:usb0="800002BF" w:usb1="38CF7CFA" w:usb2="00000016" w:usb3="00000000" w:csb0="00040001" w:csb1="00000000"/>
    <w:embedRegular r:id="rId3" w:fontKey="{A721E91C-A0A0-4B32-877B-25C820619342}"/>
  </w:font>
  <w:font w:name="方正仿宋_GB2312">
    <w:panose1 w:val="02000000000000000000"/>
    <w:charset w:val="86"/>
    <w:family w:val="auto"/>
    <w:pitch w:val="default"/>
    <w:sig w:usb0="A00002BF" w:usb1="184F6CFA" w:usb2="00000012" w:usb3="00000000" w:csb0="00040001" w:csb1="00000000"/>
    <w:embedRegular r:id="rId4" w:fontKey="{A07BCAA4-6325-4A4E-B8D5-96391D38F7E8}"/>
  </w:font>
  <w:font w:name="Arial Unicode MS">
    <w:panose1 w:val="020B0604020202020204"/>
    <w:charset w:val="86"/>
    <w:family w:val="roman"/>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CB63FA3"/>
    <w:rsid w:val="317B3E11"/>
    <w:rsid w:val="3A6927DD"/>
    <w:rsid w:val="5C33726B"/>
    <w:rsid w:val="6F216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qFormat/>
    <w:uiPriority w:val="0"/>
    <w:rPr>
      <w:rFonts w:ascii="Arial" w:hAnsi="Arial" w:eastAsia="Arial" w:cs="Arial"/>
      <w:snapToGrid w:val="0"/>
      <w:color w:val="000000"/>
      <w:sz w:val="18"/>
      <w:szCs w:val="18"/>
    </w:rPr>
  </w:style>
  <w:style w:type="character" w:customStyle="1" w:styleId="20">
    <w:name w:val="页脚 字符"/>
    <w:basedOn w:val="14"/>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1</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2023-08-17T00:44:40Z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