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外文医学信息资源检索平台</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外文医学信息资源检索平台</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外文医学文献收录外文医学期刊不少于90000多种，涵盖Medline期刊5200多种、SCI期刊9000多种，文献总量超过8000万篇，要具有期刊导航功能，并能提供期刊的年卷期、中科院分区等信息；包括药学、基础医学、临床医学、预防医学、生物医学、药物化学、卫生学、特种医学等。数据每日更新，局域网数据每月更新，即时同步国际标准医学文献库PubMed。提供多种文献评价过滤工具，每种过滤器一次最多可过滤的文献不少于2000万条。要有统计分析：对检索结果进行可视化统计分析，从中挖掘出高产作者、期刊、主题词，便于用户更直观地了解发表文献最多的国家或城市，发现更细化或更新的研究热点，每种统计分析一次最多可统计的文献不少于2000万条。</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聚类关联功能：揭示出疾病、诊断、药物、治疗、中药、手术六个领域之间的内在关联，展示研究关注度最高的主题，简洁、直观的显示各主题之间的联系，帮助用户发现更新、更好的科研课题。聚类关联一次最多可以聚类的文献不少于2000万条。具有多维度的期刊和文献的评价指标：具有H指数，SJR威望指数，影响因子，中科院期刊分区。</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*1、收录外文医学期刊90000多种，涵盖Medline期刊5200多种、SCI期刊9000多种，文献总量超过8000万篇（必须具有期刊导航功能并能提供期刊的年卷期、中科院分区等信息）；</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2、收录学科范围包括药学、基础医学、临床医学、预防医学、生物医学、药物化学、卫生学、特种医学等。</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3、互联网数据每日更新，局域网数据每月更新，即时同步国际标准医学文献库PubMed。</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4、拥有符合国际标准的：（1）主题词检索（2）文本词检索（3）复合检索（4）期刊导航检索（5）检索历史（6）加载PubMed检索（7）单篇引文匹配器（8）二次检索。</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*5、提供多种文献评价过滤工具，能够帮助用户在短时间内准确获取到最相关的研究信息（每种过滤器一次最多可过滤的文献不少于2000万条）。</w:t>
      </w:r>
    </w:p>
    <w:p>
      <w:pPr>
        <w:spacing w:line="276" w:lineRule="auto"/>
        <w:ind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（1）语种及年代过滤：方便用户在最短时间内快速检索出特定语种、年度的文献；</w:t>
      </w:r>
    </w:p>
    <w:p>
      <w:pPr>
        <w:spacing w:line="276" w:lineRule="auto"/>
        <w:ind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（2）循证医学过滤：过滤出循证医学方面专业文献；</w:t>
      </w:r>
    </w:p>
    <w:p>
      <w:pPr>
        <w:spacing w:line="276" w:lineRule="auto"/>
        <w:ind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（3）文献类型、格式过滤：便于用户快速检索到Meta分析、随机对照试验、系统评价等多种类型的文献。</w:t>
      </w:r>
    </w:p>
    <w:p>
      <w:pPr>
        <w:spacing w:line="276" w:lineRule="auto"/>
        <w:ind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（4）基因过滤：方便用户快速过滤出精准医学方面的文献。</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统计分析：对检索结果进行可视化统计分析，从中挖掘出高产作者、期刊、主题词，便于用户更直观地了解发表文献最多的国家或城市，发现更细化或更新的研究热点（每种统计分析一次最多可统计的文献不少于2000万条）。</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聚类关联功能：揭示出疾病、诊断、药物、治疗、中药、手术六个领域之间的内在关联，展示研究关注度最高的主题，简洁、直观的显示各主题之间的联系，帮助用户发现更新、更好的科研课题（聚类关联一次最多可以聚类的文献不少于2000万条）。</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8、设置文献排序功能，用户可按相关度、影响因子、出版日期等不同需求进行文献的排序，以进一步缩小限定检索结果，快速找到相关度高、含金量大、时效性强的文献。</w:t>
      </w:r>
    </w:p>
    <w:p>
      <w:pPr>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9、提供PDF全文翻译、题名和摘要机器翻译等，方便用户直观获取文献题名、摘要，查阅专业术语，消除了读者阅读外文专业词汇的障碍。</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10.具有多维度的期刊和文献的评价指标：具有H指数，SJR威望指数，影响因子，中科院期刊分区。</w:t>
      </w:r>
    </w:p>
    <w:p>
      <w:pPr>
        <w:rPr>
          <w:rFonts w:hint="eastAsia" w:cs="宋体" w:asciiTheme="minorEastAsia" w:hAnsiTheme="minorEastAsia"/>
          <w:color w:val="333333"/>
          <w:sz w:val="24"/>
          <w:szCs w:val="24"/>
        </w:rPr>
      </w:pPr>
    </w:p>
    <w:p>
      <w:pPr>
        <w:rPr>
          <w:rFonts w:hint="eastAsia" w:cs="宋体" w:asciiTheme="minorEastAsia" w:hAnsiTheme="minorEastAsia"/>
          <w:color w:val="333333"/>
          <w:sz w:val="24"/>
          <w:szCs w:val="24"/>
          <w:lang w:eastAsia="zh-CN"/>
        </w:rPr>
      </w:pPr>
      <w:r>
        <w:rPr>
          <w:rFonts w:hint="eastAsia" w:cs="宋体" w:asciiTheme="minorEastAsia" w:hAnsiTheme="minorEastAsia"/>
          <w:color w:val="333333"/>
          <w:sz w:val="24"/>
          <w:szCs w:val="24"/>
          <w:lang w:eastAsia="zh-CN"/>
        </w:rPr>
        <w:t>注：含</w:t>
      </w:r>
      <w:r>
        <w:rPr>
          <w:rFonts w:cs="宋体" w:asciiTheme="minorEastAsia" w:hAnsiTheme="minorEastAsia"/>
          <w:color w:val="333333"/>
          <w:sz w:val="24"/>
          <w:szCs w:val="24"/>
        </w:rPr>
        <w:t>*</w:t>
      </w:r>
      <w:r>
        <w:rPr>
          <w:rFonts w:hint="eastAsia" w:cs="宋体" w:asciiTheme="minorEastAsia" w:hAnsiTheme="minorEastAsia"/>
          <w:color w:val="333333"/>
          <w:sz w:val="24"/>
          <w:szCs w:val="24"/>
          <w:lang w:eastAsia="zh-CN"/>
        </w:rPr>
        <w:t>要求为实质性参数，不满足的供应商将被取消投标资格</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1.交货时间、地点与方式：</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（1）交货时间：中标人应在采购合同签署并经采购人通知送货后3天内发货到采购人指定地点，并在一周内完成安装、调试与技术培训。</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（2）服务周期：三年。</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（3）交货地点：（招标人指定地点）。</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（4）交货方式：中标人自行送达招标人指定地点。 </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2.售后服务</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（1）软件系统使用期1年，使用期内中标人免费为采购人提供软件的升级、维护、培训等事宜。</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（2）中标人应有良好的服务理念和完善的售后服务体系，在所销售的省份驻有长期的服务人员，能够提供电话、微信等7×24小时全方位技术支持。</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免费提供数据库更新升级、技术维护、操作培训等服务。（a培训方式：授课+现场操作应用指导。对招标人的培训，采取集中培训或一对一的培训方式。b培训资料：向用户提供整个应用系统的技术说明、操作说明和相关的文档；提供多种培训课程和技术知识讲座资料；详细的培训计划安排表等。</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（4）当数据库服务系统出现问题时，中标人承诺及时完成数据库系统的恢复工作。一般技术支持响应时间不超过2小时；重大问题，保证在24小时内到达现场、48小时内恢复系统。</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（5）中标人的其它售后服务承诺如果有不同约定的，以服务水平和层级更高的为准。</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3.专利权和保密要求</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投标人应保证使用方在使用该货物或其任何一部分时，不受第三方侵权指控。同时，投标人不得向第三方泄露招标人提供的技术文件等资料。</w:t>
      </w:r>
    </w:p>
    <w:p>
      <w:pPr>
        <w:pStyle w:val="14"/>
        <w:ind w:firstLine="616" w:firstLineChars="200"/>
        <w:rPr>
          <w:rFonts w:hint="eastAsia" w:ascii="仿宋" w:hAnsi="仿宋" w:eastAsia="仿宋" w:cs="仿宋"/>
          <w:snapToGrid w:val="0"/>
          <w:color w:val="000000"/>
          <w:spacing w:val="-1"/>
          <w:sz w:val="31"/>
          <w:szCs w:val="31"/>
          <w:lang w:val="en-US" w:eastAsia="zh-CN" w:bidi="ar-SA"/>
        </w:rPr>
      </w:pP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7、检索平台相关介绍（包括文献数量、检索方式等）</w:t>
      </w: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eastAsia="zh-CN"/>
        </w:rPr>
        <w:t>欧老师   </w:t>
      </w:r>
      <w:r>
        <w:rPr>
          <w:rFonts w:hint="eastAsia" w:ascii="仿宋" w:hAnsi="仿宋" w:eastAsia="仿宋" w:cs="仿宋"/>
          <w:spacing w:val="2"/>
          <w:sz w:val="31"/>
          <w:szCs w:val="31"/>
          <w:lang w:val="en-US" w:eastAsia="zh-CN"/>
        </w:rPr>
        <w:t>13981110126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82266098"/>
      <w:bookmarkStart w:id="1" w:name="_Toc11832062"/>
      <w:bookmarkStart w:id="2" w:name="_Toc443397363"/>
      <w:bookmarkStart w:id="3" w:name="_Toc87974341"/>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482266101"/>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3563879"/>
      <w:bookmarkStart w:id="18" w:name="_Toc1123174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3358"/>
      <w:bookmarkStart w:id="26" w:name="_Toc13563883"/>
      <w:bookmarkStart w:id="27" w:name="_Toc443397367"/>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bookmarkStart w:id="30" w:name="_GoBack"/>
            <w:bookmarkEnd w:id="30"/>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p>
      <w:pPr>
        <w:spacing w:before="217" w:line="224" w:lineRule="auto"/>
        <w:ind w:left="133"/>
        <w:rPr>
          <w:rFonts w:hint="eastAsia" w:ascii="仿宋" w:hAnsi="仿宋" w:eastAsia="仿宋" w:cs="仿宋"/>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0565D0-30F2-4616-9594-FA71330252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3D1503F-10F0-4F8C-9F07-ABDDDFE54825}"/>
  </w:font>
  <w:font w:name="仿宋">
    <w:panose1 w:val="02010609060101010101"/>
    <w:charset w:val="86"/>
    <w:family w:val="modern"/>
    <w:pitch w:val="default"/>
    <w:sig w:usb0="800002BF" w:usb1="38CF7CFA" w:usb2="00000016" w:usb3="00000000" w:csb0="00040001" w:csb1="00000000"/>
    <w:embedRegular r:id="rId3" w:fontKey="{C89D192D-F8FB-43FA-9389-D67BFBF2A3D1}"/>
  </w:font>
  <w:font w:name="方正仿宋_GB2312">
    <w:panose1 w:val="02000000000000000000"/>
    <w:charset w:val="86"/>
    <w:family w:val="auto"/>
    <w:pitch w:val="default"/>
    <w:sig w:usb0="A00002BF" w:usb1="184F6CFA" w:usb2="00000012" w:usb3="00000000" w:csb0="00040001" w:csb1="00000000"/>
    <w:embedRegular r:id="rId4" w:fontKey="{C219997D-9040-4420-B3B7-C67A2ACBA3B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CB63FA3"/>
    <w:rsid w:val="3A6927DD"/>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7"/>
    <w:qFormat/>
    <w:uiPriority w:val="0"/>
    <w:pPr>
      <w:tabs>
        <w:tab w:val="center" w:pos="4153"/>
        <w:tab w:val="right" w:pos="8306"/>
      </w:tabs>
    </w:pPr>
    <w:rPr>
      <w:sz w:val="18"/>
      <w:szCs w:val="18"/>
    </w:rPr>
  </w:style>
  <w:style w:type="paragraph" w:styleId="8">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8"/>
    <w:qFormat/>
    <w:uiPriority w:val="0"/>
    <w:rPr>
      <w:rFonts w:ascii="Arial" w:hAnsi="Arial" w:eastAsia="Arial" w:cs="Arial"/>
      <w:snapToGrid w:val="0"/>
      <w:color w:val="000000"/>
      <w:sz w:val="18"/>
      <w:szCs w:val="18"/>
    </w:rPr>
  </w:style>
  <w:style w:type="character" w:customStyle="1" w:styleId="17">
    <w:name w:val="页脚 字符"/>
    <w:basedOn w:val="11"/>
    <w:link w:val="7"/>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2</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2023-07-26T01:38:41Z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