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技术参数：</w:t>
      </w:r>
    </w:p>
    <w:tbl>
      <w:tblPr>
        <w:tblStyle w:val="3"/>
        <w:tblpPr w:leftFromText="180" w:rightFromText="180" w:vertAnchor="page" w:horzAnchor="page" w:tblpX="1407" w:tblpY="1793"/>
        <w:tblOverlap w:val="never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390"/>
        <w:gridCol w:w="1275"/>
        <w:gridCol w:w="3686"/>
        <w:gridCol w:w="1035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1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90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科室</w:t>
            </w:r>
          </w:p>
        </w:tc>
        <w:tc>
          <w:tcPr>
            <w:tcW w:w="127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368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技术参数及要求</w:t>
            </w: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2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限价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4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肿瘤科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体外高频热疗机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用于临床配合肿瘤放疗和化疗的治疗手段，用于肝癌、膀胱癌等肿瘤的辅助治疗。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29.8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商务要求：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1、成交供应商需在3</w:t>
      </w:r>
      <w:r>
        <w:rPr>
          <w:kern w:val="0"/>
          <w:sz w:val="24"/>
          <w:szCs w:val="24"/>
        </w:rPr>
        <w:t>0</w:t>
      </w:r>
      <w:r>
        <w:rPr>
          <w:rFonts w:hint="eastAsia"/>
          <w:kern w:val="0"/>
          <w:sz w:val="24"/>
          <w:szCs w:val="24"/>
        </w:rPr>
        <w:t>日内与采购人签订合同，成交供应商应在签订合同后90日内提供货物并进行验收。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、付款方式：全部货物最终验收合格后，采购人收到中标人提交完备票据凭证资料后120日内支付100%货款。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、验收要求：使用科室和医学装备科按照投标文件共同验收。</w:t>
      </w:r>
    </w:p>
    <w:p>
      <w:pPr>
        <w:rPr>
          <w:rFonts w:hint="default"/>
          <w:lang w:val="en-US" w:eastAsia="zh-CN"/>
        </w:rPr>
      </w:pP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、售后服务：质保1年以上。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000000"/>
    <w:rsid w:val="173F7C55"/>
    <w:rsid w:val="4FA764FB"/>
    <w:rsid w:val="5DD04077"/>
    <w:rsid w:val="5EA16016"/>
    <w:rsid w:val="732B2857"/>
    <w:rsid w:val="7D83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446</Characters>
  <Lines>0</Lines>
  <Paragraphs>0</Paragraphs>
  <TotalTime>0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2023-06-28T01:30:00Z</dcterms:created>
  <dc:creator>Administrator</dc:creator>
  <cp:lastModifiedBy>Yyh</cp:lastModifiedBy>
  <dcterms:modified xsi:type="dcterms:W3CDTF">2023-07-10T06:22:39Z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0FF7A1CF94DC4C8ABB5979B9041EE9DC_13</vt:lpwstr>
  </property>
</Properties>
</file>