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</w:p>
    <w:tbl>
      <w:tblPr>
        <w:tblStyle w:val="3"/>
        <w:tblpPr w:leftFromText="180" w:rightFromText="180" w:vertAnchor="page" w:horzAnchor="page" w:tblpX="1407" w:tblpY="1793"/>
        <w:tblOverlap w:val="never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90"/>
        <w:gridCol w:w="1275"/>
        <w:gridCol w:w="3686"/>
        <w:gridCol w:w="103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1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90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科室</w:t>
            </w:r>
          </w:p>
        </w:tc>
        <w:tc>
          <w:tcPr>
            <w:tcW w:w="127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368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技术参数及要求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2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限价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肿瘤科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体外高频热疗机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用于临床配合肿瘤放疗和化疗的治疗手段，用于肝癌、膀胱癌等肿瘤的辅助治疗。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儿科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婴儿辐射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Arial Unicode MS"/>
                <w:kern w:val="0"/>
                <w:sz w:val="24"/>
                <w:szCs w:val="24"/>
              </w:rPr>
              <w:t>内部具备复苏系统，包含负压吸痰、空氧混合、正压通气；具备氧浓度调节功能，可调范围21%-100%；内部具备监护功能；内部具有记录仪，可打印；内部具备蓝光治疗功能；内部具有电子秤；具有手挥报警静音功能；具有床体升降、倾斜功能，倾斜角度可实时显示及一键水平调节功能；顶部有360度环绕报警灯；具有软件、硬件、机械三重过热保护功能；具有开门阻尼保护功能。该设备需满足婴儿洗澡及暖箱两用，便于重症患儿救治、监护及观察使用。</w:t>
            </w:r>
            <w:bookmarkStart w:id="0" w:name="_GoBack"/>
            <w:bookmarkEnd w:id="0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29.5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商务要求：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1、成交供应商需在3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日内与采购人签订合同，成交供应商应在签订合同后90日内提供货物并进行验收。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、付款方式：全部货物最终验收合格后，采购人收到中标人提交完备票据凭证资料后120日内支付100%货款。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、验收要求：使用科室和医学装备科按照投标文件共同验收。</w:t>
      </w:r>
    </w:p>
    <w:p>
      <w:pPr>
        <w:rPr>
          <w:rFonts w:hint="default"/>
          <w:lang w:val="en-US" w:eastAsia="zh-CN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、售后服务：质保1年以上。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173F7C55"/>
    <w:rsid w:val="4FA764FB"/>
    <w:rsid w:val="5EA16016"/>
    <w:rsid w:val="732B2857"/>
    <w:rsid w:val="7D83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380</Characters>
  <Lines>0</Lines>
  <Paragraphs>0</Paragraphs>
  <TotalTime>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2023-06-28T01:30:00Z</dcterms:created>
  <dc:creator>Administrator</dc:creator>
  <cp:lastModifiedBy>Yyh</cp:lastModifiedBy>
  <dcterms:modified xsi:type="dcterms:W3CDTF">2023-06-30T07:35:10Z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F85B76CE6A4F442D94296F14A705C7FE_12</vt:lpwstr>
  </property>
</Properties>
</file>