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b/>
          <w:bCs/>
          <w:lang w:val="en-US" w:eastAsia="zh-CN"/>
        </w:rPr>
        <w:t>技术要求</w:t>
      </w:r>
      <w:r>
        <w:rPr>
          <w:rFonts w:hint="eastAsia"/>
          <w:lang w:val="en-US" w:eastAsia="zh-CN"/>
        </w:rPr>
        <w:t>：</w:t>
      </w:r>
    </w:p>
    <w:p>
      <w:pPr>
        <w:numPr>
          <w:ilvl w:val="0"/>
          <w:numId w:val="1"/>
        </w:num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蓄电池数量：</w:t>
      </w:r>
    </w:p>
    <w:p>
      <w:pPr>
        <w:pStyle w:val="5"/>
        <w:widowControl/>
        <w:numPr>
          <w:ilvl w:val="0"/>
          <w:numId w:val="0"/>
        </w:numPr>
        <w:ind w:leftChars="0"/>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共计160节</w:t>
      </w:r>
    </w:p>
    <w:p>
      <w:pPr>
        <w:numPr>
          <w:ilvl w:val="0"/>
          <w:numId w:val="1"/>
        </w:numPr>
        <w:spacing w:line="500" w:lineRule="exact"/>
        <w:jc w:val="left"/>
        <w:rPr>
          <w:rFonts w:hint="default"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蓄电池技术要求：</w:t>
      </w:r>
    </w:p>
    <w:p>
      <w:pPr>
        <w:pStyle w:val="5"/>
        <w:widowControl/>
        <w:numPr>
          <w:ilvl w:val="0"/>
          <w:numId w:val="2"/>
        </w:numPr>
        <w:ind w:left="425" w:leftChars="0" w:hanging="425" w:firstLineChars="0"/>
        <w:jc w:val="left"/>
        <w:textAlignment w:val="center"/>
        <w:rPr>
          <w:rFonts w:hint="eastAsia" w:ascii="宋体" w:hAnsi="宋体" w:cs="宋体"/>
          <w:sz w:val="21"/>
          <w:szCs w:val="21"/>
        </w:rPr>
      </w:pPr>
      <w:r>
        <w:rPr>
          <w:rFonts w:hint="eastAsia" w:ascii="宋体" w:hAnsi="宋体" w:cs="宋体"/>
          <w:color w:val="000000" w:themeColor="text1"/>
          <w:sz w:val="21"/>
          <w:szCs w:val="21"/>
          <w14:textFill>
            <w14:solidFill>
              <w14:schemeClr w14:val="tx1"/>
            </w14:solidFill>
          </w14:textFill>
        </w:rPr>
        <w:t>★本项</w:t>
      </w:r>
      <w:r>
        <w:rPr>
          <w:rFonts w:hint="eastAsia" w:ascii="宋体" w:hAnsi="宋体" w:cs="宋体"/>
          <w:sz w:val="21"/>
          <w:szCs w:val="21"/>
        </w:rPr>
        <w:t>目</w:t>
      </w:r>
      <w:r>
        <w:rPr>
          <w:rFonts w:hint="eastAsia" w:ascii="宋体" w:hAnsi="宋体" w:cs="宋体"/>
          <w:sz w:val="21"/>
          <w:szCs w:val="21"/>
          <w:lang w:val="en-US" w:eastAsia="zh-CN"/>
        </w:rPr>
        <w:t>须</w:t>
      </w:r>
      <w:r>
        <w:rPr>
          <w:rFonts w:hint="eastAsia" w:ascii="宋体" w:hAnsi="宋体" w:cs="宋体"/>
          <w:sz w:val="21"/>
          <w:szCs w:val="21"/>
        </w:rPr>
        <w:t xml:space="preserve">采用阀控式密封铅酸蓄电池，单节蓄电池标称电压12V，单节蓄电池容量≥100Ah。 </w:t>
      </w:r>
    </w:p>
    <w:p>
      <w:pPr>
        <w:pStyle w:val="5"/>
        <w:widowControl/>
        <w:numPr>
          <w:ilvl w:val="0"/>
          <w:numId w:val="2"/>
        </w:numPr>
        <w:ind w:left="425" w:leftChars="0" w:hanging="425" w:firstLineChars="0"/>
        <w:jc w:val="left"/>
        <w:textAlignment w:val="center"/>
        <w:rPr>
          <w:rFonts w:hint="eastAsia" w:ascii="宋体" w:hAnsi="宋体" w:cs="宋体"/>
          <w:sz w:val="21"/>
          <w:szCs w:val="21"/>
        </w:rPr>
      </w:pPr>
      <w:r>
        <w:rPr>
          <w:rFonts w:hint="eastAsia" w:ascii="宋体" w:hAnsi="宋体" w:cs="宋体"/>
          <w:sz w:val="21"/>
          <w:szCs w:val="21"/>
        </w:rPr>
        <w:t>★蓄电池正常浮充状态下，其浮充设计寿命可达10年以上，投标时应提供与本项目同型号、同规格产品彩页佐证，并加盖厂家公章。</w:t>
      </w:r>
    </w:p>
    <w:p>
      <w:pPr>
        <w:pStyle w:val="5"/>
        <w:widowControl/>
        <w:numPr>
          <w:ilvl w:val="0"/>
          <w:numId w:val="2"/>
        </w:numPr>
        <w:ind w:left="425" w:leftChars="0" w:hanging="425" w:firstLineChars="0"/>
        <w:jc w:val="left"/>
        <w:textAlignment w:val="center"/>
        <w:rPr>
          <w:rFonts w:hint="eastAsia" w:ascii="宋体" w:hAnsi="宋体" w:cs="宋体"/>
          <w:sz w:val="21"/>
          <w:szCs w:val="21"/>
        </w:rPr>
      </w:pPr>
      <w:r>
        <w:rPr>
          <w:rFonts w:hint="eastAsia" w:ascii="宋体" w:hAnsi="宋体" w:cs="宋体"/>
          <w:sz w:val="21"/>
          <w:szCs w:val="21"/>
        </w:rPr>
        <w:t>★单节蓄电池净重量应不低于28KG，投标时应提供产品彩页证明，并加盖厂家公章；</w:t>
      </w:r>
      <w:r>
        <w:rPr>
          <w:rFonts w:hint="eastAsia" w:ascii="宋体" w:hAnsi="宋体" w:cs="宋体"/>
          <w:sz w:val="21"/>
          <w:szCs w:val="21"/>
          <w:lang w:val="en-US" w:eastAsia="zh-CN"/>
        </w:rPr>
        <w:t>验收时</w:t>
      </w:r>
      <w:r>
        <w:rPr>
          <w:rFonts w:hint="eastAsia" w:ascii="宋体" w:hAnsi="宋体" w:cs="宋体"/>
          <w:sz w:val="21"/>
          <w:szCs w:val="21"/>
        </w:rPr>
        <w:t>现场将进行称重，一经发现电池内掺玻璃、水泥等弄虚作假的行为，将取消</w:t>
      </w:r>
      <w:r>
        <w:rPr>
          <w:rFonts w:hint="eastAsia" w:ascii="宋体" w:hAnsi="宋体" w:cs="宋体"/>
          <w:sz w:val="21"/>
          <w:szCs w:val="21"/>
          <w:lang w:val="en-US" w:eastAsia="zh-CN"/>
        </w:rPr>
        <w:t>中标资格，</w:t>
      </w:r>
      <w:r>
        <w:rPr>
          <w:rFonts w:hint="eastAsia" w:ascii="宋体" w:hAnsi="宋体" w:cs="宋体"/>
          <w:sz w:val="21"/>
          <w:szCs w:val="21"/>
        </w:rPr>
        <w:t>所有损失由中标方承担。</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蓄电池外壳应采用符合UL94V-0标准的ABS防火材料。</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蓄电池极板应采用板栅合金工艺，要求抗腐蚀性能及深循环性能良好，要求自放电小；接线板、终端接头应采用导电性能优良的材料，并具有防腐蚀措施。</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蓄电池外观无变形、漏液、裂纹及污迹，标识清晰；正、负极端子有明显标志，便于连接。</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蓄电池阻燃性能应符合YD/T799-2010中第6.4条的要求。</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★蓄电池应能承受50kPa的正压或负压而不破裂、不开胶，压力释放后壳体无残余变形。</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蓄电池以0.3I10A连续放电3min，极柱不应熔断，内部汇流排不应熔断，其外观不得出现异常。</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bookmarkStart w:id="0" w:name="_GoBack"/>
      <w:r>
        <w:rPr>
          <w:rFonts w:hint="eastAsia" w:ascii="宋体" w:hAnsi="宋体" w:cs="宋体"/>
          <w:color w:val="auto"/>
          <w:sz w:val="21"/>
          <w:szCs w:val="21"/>
        </w:rPr>
        <w:t>★蓄电池静置28天后</w:t>
      </w:r>
      <w:r>
        <w:rPr>
          <w:rFonts w:hint="eastAsia" w:ascii="宋体" w:hAnsi="宋体" w:cs="宋体"/>
          <w:color w:val="auto"/>
          <w:sz w:val="21"/>
          <w:szCs w:val="21"/>
          <w:lang w:eastAsia="zh-CN"/>
        </w:rPr>
        <w:t>，</w:t>
      </w:r>
      <w:r>
        <w:rPr>
          <w:rFonts w:hint="eastAsia" w:ascii="宋体" w:hAnsi="宋体" w:cs="宋体"/>
          <w:color w:val="auto"/>
          <w:sz w:val="21"/>
          <w:szCs w:val="21"/>
        </w:rPr>
        <w:t>容量保存率应≥97.9%。</w:t>
      </w:r>
    </w:p>
    <w:bookmarkEnd w:id="0"/>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蓄电池密封反应效率应≥96.8%。</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蓄电池安全阀开阀压力应在10~35kPa范围内，闭阀压力应在3~30kPa范围内。</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完全充电后的蓄电池以0.3I10A连续充电160h，无变形、无漏液。</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蓄电池间连接电压降应≤5.3mV</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防爆性能：蓄电池充电过程中遇明火，内部应不引燃、不引爆。</w:t>
      </w:r>
    </w:p>
    <w:p>
      <w:pPr>
        <w:pStyle w:val="5"/>
        <w:widowControl/>
        <w:numPr>
          <w:ilvl w:val="0"/>
          <w:numId w:val="2"/>
        </w:numPr>
        <w:ind w:left="425" w:leftChars="0" w:hanging="425" w:firstLineChars="0"/>
        <w:jc w:val="left"/>
        <w:textAlignment w:val="center"/>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szCs w:val="21"/>
        </w:rPr>
        <w:t>蓄电池内阻应≤2.8mΩ，同组蓄电池内阻偏差应≤8.2%</w:t>
      </w:r>
      <w:r>
        <w:rPr>
          <w:rFonts w:hint="eastAsia" w:ascii="宋体" w:hAnsi="宋体" w:cs="宋体"/>
          <w:color w:val="auto"/>
          <w:sz w:val="21"/>
          <w:szCs w:val="21"/>
        </w:rPr>
        <w:t>。</w:t>
      </w:r>
    </w:p>
    <w:p>
      <w:pPr>
        <w:pStyle w:val="5"/>
        <w:widowControl/>
        <w:numPr>
          <w:ilvl w:val="0"/>
          <w:numId w:val="2"/>
        </w:numPr>
        <w:ind w:left="425" w:leftChars="0" w:hanging="425" w:firstLineChars="0"/>
        <w:jc w:val="left"/>
        <w:textAlignment w:val="center"/>
        <w:rPr>
          <w:rFonts w:hint="eastAsia" w:ascii="宋体" w:hAnsi="宋体" w:cs="宋体"/>
          <w:sz w:val="21"/>
          <w:szCs w:val="21"/>
        </w:rPr>
      </w:pPr>
      <w:r>
        <w:rPr>
          <w:rFonts w:hint="eastAsia" w:ascii="宋体" w:hAnsi="宋体" w:cs="宋体"/>
          <w:sz w:val="21"/>
          <w:szCs w:val="21"/>
        </w:rPr>
        <w:t>低温敏感性：蓄电池10h率容量应≥0.93C10，外观应无破裂，过度膨胀及槽、盖分离现象。</w:t>
      </w:r>
    </w:p>
    <w:p>
      <w:pPr>
        <w:pStyle w:val="5"/>
        <w:widowControl/>
        <w:numPr>
          <w:ilvl w:val="0"/>
          <w:numId w:val="2"/>
        </w:numPr>
        <w:ind w:left="425" w:leftChars="0" w:hanging="425" w:firstLineChars="0"/>
        <w:jc w:val="left"/>
        <w:textAlignment w:val="center"/>
        <w:rPr>
          <w:rFonts w:hint="eastAsia" w:ascii="宋体" w:hAnsi="宋体" w:cs="宋体"/>
          <w:sz w:val="21"/>
          <w:szCs w:val="21"/>
        </w:rPr>
      </w:pPr>
      <w:r>
        <w:rPr>
          <w:rFonts w:hint="eastAsia" w:ascii="宋体" w:hAnsi="宋体" w:cs="宋体"/>
          <w:sz w:val="21"/>
          <w:szCs w:val="21"/>
        </w:rPr>
        <w:t>同组蓄电池10h率容量试验时，最大实际容量与最小实际容量差值应≤2.3%</w:t>
      </w:r>
    </w:p>
    <w:p>
      <w:pPr>
        <w:pStyle w:val="5"/>
        <w:widowControl/>
        <w:numPr>
          <w:ilvl w:val="0"/>
          <w:numId w:val="2"/>
        </w:numPr>
        <w:ind w:left="425" w:leftChars="0" w:hanging="425" w:firstLineChars="0"/>
        <w:jc w:val="left"/>
        <w:textAlignment w:val="center"/>
        <w:rPr>
          <w:rFonts w:hint="eastAsia" w:ascii="宋体" w:hAnsi="宋体" w:cs="宋体"/>
          <w:sz w:val="21"/>
          <w:szCs w:val="21"/>
        </w:rPr>
      </w:pPr>
      <w:r>
        <w:rPr>
          <w:rFonts w:hint="eastAsia" w:ascii="宋体" w:hAnsi="宋体" w:cs="宋体"/>
          <w:sz w:val="21"/>
          <w:szCs w:val="21"/>
        </w:rPr>
        <w:t>★蓄电池应符合YD/T 799-2010《通信用阀控式密封蓄电池》的要求，投标时须提供12V系列蓄电池的</w:t>
      </w:r>
      <w:r>
        <w:rPr>
          <w:rFonts w:hint="eastAsia" w:ascii="宋体" w:hAnsi="宋体" w:cs="宋体"/>
          <w:b/>
          <w:bCs/>
          <w:sz w:val="21"/>
          <w:szCs w:val="21"/>
        </w:rPr>
        <w:t>中国泰尔实验室</w:t>
      </w:r>
      <w:r>
        <w:rPr>
          <w:rFonts w:hint="eastAsia" w:ascii="宋体" w:hAnsi="宋体" w:cs="宋体"/>
          <w:b/>
          <w:bCs/>
          <w:sz w:val="21"/>
          <w:szCs w:val="21"/>
          <w:lang w:val="en-US" w:eastAsia="zh-CN"/>
        </w:rPr>
        <w:t>产品认证</w:t>
      </w:r>
      <w:r>
        <w:rPr>
          <w:rFonts w:hint="eastAsia" w:ascii="宋体" w:hAnsi="宋体" w:cs="宋体"/>
          <w:b/>
          <w:bCs/>
          <w:szCs w:val="21"/>
        </w:rPr>
        <w:t>证书</w:t>
      </w:r>
      <w:r>
        <w:rPr>
          <w:rFonts w:hint="eastAsia" w:ascii="宋体" w:hAnsi="宋体" w:cs="宋体"/>
          <w:sz w:val="21"/>
          <w:szCs w:val="21"/>
        </w:rPr>
        <w:t>复印件，</w:t>
      </w:r>
      <w:r>
        <w:rPr>
          <w:rFonts w:hint="eastAsia" w:ascii="宋体" w:hAnsi="宋体" w:cs="宋体"/>
          <w:b/>
          <w:bCs/>
          <w:sz w:val="21"/>
          <w:szCs w:val="21"/>
        </w:rPr>
        <w:t>中国泰尔实验室</w:t>
      </w:r>
      <w:r>
        <w:rPr>
          <w:rFonts w:hint="eastAsia" w:ascii="宋体" w:hAnsi="宋体" w:cs="宋体"/>
          <w:b/>
          <w:bCs/>
          <w:sz w:val="21"/>
          <w:szCs w:val="21"/>
          <w:lang w:val="en-US" w:eastAsia="zh-CN"/>
        </w:rPr>
        <w:t>产品认证</w:t>
      </w:r>
      <w:r>
        <w:rPr>
          <w:rFonts w:hint="eastAsia" w:ascii="宋体" w:hAnsi="宋体" w:cs="宋体"/>
          <w:b/>
          <w:bCs/>
          <w:szCs w:val="21"/>
        </w:rPr>
        <w:t>证书</w:t>
      </w:r>
      <w:r>
        <w:rPr>
          <w:rFonts w:hint="eastAsia" w:ascii="宋体" w:hAnsi="宋体" w:cs="宋体"/>
          <w:sz w:val="21"/>
          <w:szCs w:val="21"/>
        </w:rPr>
        <w:t>应包含本项目投标型号，并加盖厂家公章。</w:t>
      </w:r>
    </w:p>
    <w:p>
      <w:pPr>
        <w:pStyle w:val="5"/>
        <w:widowControl/>
        <w:numPr>
          <w:ilvl w:val="0"/>
          <w:numId w:val="2"/>
        </w:numPr>
        <w:ind w:left="425" w:leftChars="0" w:hanging="425" w:firstLineChars="0"/>
        <w:jc w:val="left"/>
        <w:textAlignment w:val="center"/>
        <w:rPr>
          <w:rFonts w:hint="eastAsia" w:ascii="宋体" w:hAnsi="宋体" w:cs="宋体"/>
          <w:sz w:val="21"/>
          <w:szCs w:val="21"/>
        </w:rPr>
      </w:pPr>
      <w:r>
        <w:rPr>
          <w:rFonts w:hint="eastAsia" w:ascii="宋体" w:hAnsi="宋体" w:cs="宋体"/>
          <w:sz w:val="21"/>
          <w:szCs w:val="21"/>
        </w:rPr>
        <w:t>★蓄电池各项参数应在</w:t>
      </w:r>
      <w:r>
        <w:rPr>
          <w:rFonts w:hint="eastAsia" w:ascii="宋体" w:hAnsi="宋体" w:cs="宋体"/>
          <w:b/>
          <w:bCs/>
          <w:sz w:val="21"/>
          <w:szCs w:val="21"/>
        </w:rPr>
        <w:t>中国泰尔实验室</w:t>
      </w:r>
      <w:r>
        <w:rPr>
          <w:rFonts w:hint="eastAsia" w:ascii="宋体" w:hAnsi="宋体" w:cs="宋体"/>
          <w:sz w:val="21"/>
          <w:szCs w:val="21"/>
        </w:rPr>
        <w:t>检验判定合格，投标时须提供有效期内的同型号、同规格蓄电池的</w:t>
      </w:r>
      <w:r>
        <w:rPr>
          <w:rFonts w:hint="eastAsia" w:ascii="宋体" w:hAnsi="宋体" w:cs="宋体"/>
          <w:b/>
          <w:bCs/>
          <w:sz w:val="21"/>
          <w:szCs w:val="21"/>
        </w:rPr>
        <w:t>中国泰尔实验室检验报告</w:t>
      </w:r>
      <w:r>
        <w:rPr>
          <w:rFonts w:hint="eastAsia" w:ascii="宋体" w:hAnsi="宋体" w:cs="宋体"/>
          <w:sz w:val="21"/>
          <w:szCs w:val="21"/>
        </w:rPr>
        <w:t>复印件，并加盖厂家公章。</w:t>
      </w:r>
    </w:p>
    <w:p>
      <w:pPr>
        <w:pStyle w:val="5"/>
        <w:widowControl/>
        <w:numPr>
          <w:ilvl w:val="0"/>
          <w:numId w:val="2"/>
        </w:numPr>
        <w:ind w:left="425" w:leftChars="0" w:hanging="425" w:firstLineChars="0"/>
        <w:jc w:val="left"/>
        <w:textAlignment w:val="center"/>
        <w:rPr>
          <w:rFonts w:hint="eastAsia" w:ascii="宋体" w:hAnsi="宋体" w:cs="宋体"/>
          <w:sz w:val="21"/>
          <w:szCs w:val="21"/>
        </w:rPr>
      </w:pPr>
      <w:r>
        <w:rPr>
          <w:rFonts w:hint="eastAsia" w:ascii="宋体" w:hAnsi="宋体" w:cs="宋体"/>
          <w:sz w:val="21"/>
          <w:szCs w:val="21"/>
        </w:rPr>
        <w:t>★蓄电池应符合YD 5083-2005《电信设备抗地震性能检测规范》及YD/T 5096-2016《通信用电源设备抗地震性能检测规范》的要求，投标时须提供由</w:t>
      </w:r>
      <w:r>
        <w:rPr>
          <w:rFonts w:hint="eastAsia" w:ascii="宋体" w:hAnsi="宋体" w:cs="宋体"/>
          <w:b/>
          <w:bCs/>
          <w:sz w:val="21"/>
          <w:szCs w:val="21"/>
        </w:rPr>
        <w:t>中国泰尔实验室</w:t>
      </w:r>
      <w:r>
        <w:rPr>
          <w:rFonts w:hint="eastAsia" w:ascii="宋体" w:hAnsi="宋体" w:cs="宋体"/>
          <w:sz w:val="21"/>
          <w:szCs w:val="21"/>
        </w:rPr>
        <w:t>出具的与本项目投标同型号、同规格蓄电池的“7、8、9烈度抗地震检测报告”复印件（须有效期内，加盖厂家公章）；同时应提供由</w:t>
      </w:r>
      <w:r>
        <w:rPr>
          <w:rFonts w:hint="eastAsia" w:ascii="宋体" w:hAnsi="宋体" w:cs="宋体"/>
          <w:b/>
          <w:bCs/>
          <w:sz w:val="21"/>
          <w:szCs w:val="21"/>
        </w:rPr>
        <w:t>中国泰尔实验室</w:t>
      </w:r>
      <w:r>
        <w:rPr>
          <w:rFonts w:hint="eastAsia" w:ascii="宋体" w:hAnsi="宋体" w:cs="宋体"/>
          <w:sz w:val="21"/>
          <w:szCs w:val="21"/>
        </w:rPr>
        <w:t>出具的与本项目投标同型号、同规格蓄电池的 “信息通信设备抗震性能合格证”复印件（须有效期内，加盖厂家公章）。</w:t>
      </w:r>
    </w:p>
    <w:p>
      <w:pPr>
        <w:pStyle w:val="5"/>
        <w:widowControl/>
        <w:numPr>
          <w:ilvl w:val="0"/>
          <w:numId w:val="2"/>
        </w:numPr>
        <w:ind w:left="425" w:leftChars="0" w:hanging="425" w:firstLineChars="0"/>
        <w:jc w:val="left"/>
        <w:textAlignment w:val="center"/>
        <w:rPr>
          <w:rFonts w:hint="default" w:ascii="宋体" w:hAnsi="宋体" w:cs="宋体"/>
          <w:sz w:val="21"/>
          <w:szCs w:val="21"/>
          <w:lang w:val="en-US" w:eastAsia="zh-CN"/>
        </w:rPr>
      </w:pPr>
      <w:r>
        <w:rPr>
          <w:rFonts w:hint="eastAsia" w:ascii="宋体" w:hAnsi="宋体" w:cs="宋体"/>
          <w:sz w:val="21"/>
          <w:szCs w:val="21"/>
        </w:rPr>
        <w:t>含蓄电池间的连接线缆(必须∮35纯铜线)</w:t>
      </w:r>
    </w:p>
    <w:p>
      <w:pPr>
        <w:pStyle w:val="5"/>
        <w:widowControl/>
        <w:numPr>
          <w:ilvl w:val="0"/>
          <w:numId w:val="2"/>
        </w:numPr>
        <w:ind w:left="425" w:leftChars="0" w:hanging="425" w:firstLineChars="0"/>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投标人应承诺提供硬件的免费维保，共计</w:t>
      </w:r>
      <w:r>
        <w:rPr>
          <w:rFonts w:hint="default" w:ascii="宋体" w:hAnsi="宋体" w:cs="宋体"/>
          <w:sz w:val="21"/>
          <w:szCs w:val="21"/>
          <w:lang w:val="en-US" w:eastAsia="zh-CN"/>
        </w:rPr>
        <w:t>三年</w:t>
      </w:r>
      <w:r>
        <w:rPr>
          <w:rFonts w:hint="eastAsia" w:ascii="宋体" w:hAnsi="宋体" w:cs="宋体"/>
          <w:sz w:val="21"/>
          <w:szCs w:val="21"/>
          <w:lang w:val="en-US" w:eastAsia="zh-CN"/>
        </w:rPr>
        <w:t>时间。</w:t>
      </w:r>
    </w:p>
    <w:p>
      <w:pPr>
        <w:pStyle w:val="5"/>
        <w:widowControl/>
        <w:numPr>
          <w:ilvl w:val="0"/>
          <w:numId w:val="0"/>
        </w:numPr>
        <w:ind w:leftChars="0"/>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备注：</w:t>
      </w:r>
    </w:p>
    <w:p>
      <w:pPr>
        <w:pStyle w:val="5"/>
        <w:widowControl/>
        <w:numPr>
          <w:ilvl w:val="0"/>
          <w:numId w:val="0"/>
        </w:numPr>
        <w:ind w:leftChars="0"/>
        <w:jc w:val="left"/>
        <w:textAlignment w:val="center"/>
        <w:rPr>
          <w:rFonts w:hint="eastAsia" w:ascii="宋体" w:hAnsi="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rPr>
        <w:t>标注</w:t>
      </w:r>
      <w:r>
        <w:rPr>
          <w:rFonts w:hint="eastAsia" w:ascii="宋体" w:hAnsi="宋体" w:cs="宋体"/>
          <w:sz w:val="21"/>
          <w:szCs w:val="21"/>
          <w:lang w:val="en-US" w:eastAsia="zh-CN"/>
        </w:rPr>
        <w:t>带有</w:t>
      </w:r>
      <w:r>
        <w:rPr>
          <w:rFonts w:hint="eastAsia" w:ascii="宋体" w:hAnsi="宋体" w:cs="宋体"/>
          <w:sz w:val="21"/>
          <w:szCs w:val="21"/>
        </w:rPr>
        <w:t>“★”</w:t>
      </w:r>
      <w:r>
        <w:rPr>
          <w:rFonts w:hint="eastAsia" w:ascii="宋体" w:hAnsi="宋体" w:cs="宋体"/>
          <w:sz w:val="21"/>
          <w:szCs w:val="21"/>
          <w:lang w:val="en-US" w:eastAsia="zh-CN"/>
        </w:rPr>
        <w:t>的技术要求</w:t>
      </w:r>
      <w:r>
        <w:rPr>
          <w:rFonts w:hint="eastAsia" w:ascii="宋体" w:hAnsi="宋体" w:cs="宋体"/>
          <w:sz w:val="21"/>
          <w:szCs w:val="21"/>
        </w:rPr>
        <w:t>，为关键技术参数；投标人若不满足或无实质性响应（或无实质性证明材料），</w:t>
      </w:r>
      <w:r>
        <w:rPr>
          <w:rFonts w:hint="eastAsia" w:ascii="宋体" w:hAnsi="宋体" w:cs="宋体"/>
          <w:sz w:val="21"/>
          <w:szCs w:val="21"/>
          <w:lang w:val="en-US" w:eastAsia="zh-CN"/>
        </w:rPr>
        <w:t>做无效响应</w:t>
      </w:r>
      <w:r>
        <w:rPr>
          <w:rFonts w:hint="eastAsia" w:ascii="宋体" w:hAnsi="宋体" w:cs="宋体"/>
          <w:sz w:val="21"/>
          <w:szCs w:val="21"/>
        </w:rPr>
        <w:t>处理</w:t>
      </w:r>
      <w:r>
        <w:rPr>
          <w:rFonts w:hint="eastAsia" w:ascii="宋体" w:hAnsi="宋体" w:cs="宋体"/>
          <w:sz w:val="21"/>
          <w:szCs w:val="21"/>
          <w:lang w:eastAsia="zh-CN"/>
        </w:rPr>
        <w:t>。</w:t>
      </w:r>
    </w:p>
    <w:p>
      <w:pPr>
        <w:rPr>
          <w:rFonts w:hint="eastAsia" w:ascii="宋体" w:hAnsi="宋体" w:cs="宋体"/>
          <w:szCs w:val="21"/>
          <w:lang w:eastAsia="zh-CN"/>
        </w:rPr>
      </w:pPr>
      <w:r>
        <w:rPr>
          <w:rFonts w:hint="eastAsia" w:ascii="宋体" w:hAnsi="宋体" w:cs="宋体"/>
          <w:sz w:val="21"/>
          <w:szCs w:val="21"/>
          <w:lang w:val="en-US" w:eastAsia="zh-CN"/>
        </w:rPr>
        <w:t>2.该项目为电池易爆产品，</w:t>
      </w:r>
      <w:r>
        <w:rPr>
          <w:rFonts w:hint="eastAsia" w:ascii="宋体" w:hAnsi="宋体" w:cs="宋体"/>
          <w:kern w:val="0"/>
          <w:szCs w:val="21"/>
          <w:lang w:val="en-US" w:eastAsia="zh-CN"/>
        </w:rPr>
        <w:t>投标人</w:t>
      </w:r>
      <w:r>
        <w:rPr>
          <w:rFonts w:ascii="宋体" w:hAnsi="宋体" w:cs="宋体"/>
          <w:kern w:val="0"/>
          <w:szCs w:val="21"/>
        </w:rPr>
        <w:t>应</w:t>
      </w:r>
      <w:r>
        <w:rPr>
          <w:rFonts w:hint="eastAsia" w:ascii="宋体" w:hAnsi="宋体"/>
          <w:szCs w:val="21"/>
        </w:rPr>
        <w:t>提供可查询的</w:t>
      </w:r>
      <w:r>
        <w:rPr>
          <w:rFonts w:hint="eastAsia" w:ascii="宋体" w:hAnsi="宋体" w:cs="宋体"/>
          <w:b/>
          <w:bCs/>
          <w:sz w:val="21"/>
          <w:szCs w:val="21"/>
        </w:rPr>
        <w:t>中国泰尔实验室</w:t>
      </w:r>
      <w:r>
        <w:rPr>
          <w:rFonts w:hint="eastAsia" w:ascii="宋体" w:hAnsi="宋体" w:cs="宋体"/>
          <w:b/>
          <w:bCs/>
          <w:sz w:val="21"/>
          <w:szCs w:val="21"/>
          <w:lang w:val="en-US" w:eastAsia="zh-CN"/>
        </w:rPr>
        <w:t>产品认证</w:t>
      </w:r>
      <w:r>
        <w:rPr>
          <w:rFonts w:hint="eastAsia" w:ascii="宋体" w:hAnsi="宋体" w:cs="宋体"/>
          <w:b/>
          <w:bCs/>
          <w:szCs w:val="21"/>
        </w:rPr>
        <w:t>证书</w:t>
      </w:r>
      <w:r>
        <w:rPr>
          <w:rFonts w:hint="eastAsia" w:ascii="宋体" w:hAnsi="宋体" w:cs="宋体"/>
          <w:b/>
          <w:bCs/>
          <w:szCs w:val="21"/>
          <w:lang w:eastAsia="zh-CN"/>
        </w:rPr>
        <w:t>、</w:t>
      </w:r>
      <w:r>
        <w:rPr>
          <w:rFonts w:hint="eastAsia" w:ascii="宋体" w:hAnsi="宋体" w:cs="宋体"/>
          <w:sz w:val="21"/>
          <w:szCs w:val="21"/>
          <w:lang w:val="en-US" w:eastAsia="zh-CN"/>
        </w:rPr>
        <w:t>并提供可供查询的方式以及查询后的截图</w:t>
      </w:r>
      <w:r>
        <w:rPr>
          <w:rFonts w:hint="eastAsia" w:ascii="宋体" w:hAnsi="宋体" w:cs="宋体"/>
          <w:szCs w:val="21"/>
          <w:lang w:eastAsia="zh-CN"/>
        </w:rPr>
        <w:t>。</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cs="宋体"/>
          <w:b/>
          <w:bCs/>
          <w:szCs w:val="21"/>
          <w:lang w:val="en-US" w:eastAsia="zh-CN"/>
        </w:rPr>
        <w:t>商务要求</w:t>
      </w:r>
      <w:r>
        <w:rPr>
          <w:rFonts w:hint="eastAsia" w:ascii="宋体" w:hAnsi="宋体" w:cs="宋体"/>
          <w:szCs w:val="21"/>
          <w:lang w:val="en-US" w:eastAsia="zh-CN"/>
        </w:rPr>
        <w:t>：</w:t>
      </w:r>
      <w:r>
        <w:rPr>
          <w:rFonts w:hint="eastAsia" w:ascii="宋体" w:hAnsi="宋体" w:eastAsia="宋体" w:cs="Arial Unicode MS"/>
          <w:kern w:val="0"/>
          <w:sz w:val="21"/>
          <w:szCs w:val="21"/>
          <w:lang w:val="en-US" w:eastAsia="zh-CN"/>
        </w:rPr>
        <w:t>（一）质量要求</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1、成交供应商须提供全新的货物（含零部件、配件等），表面无划伤、无碰撞痕迹，且权属清楚，不得侵害他人的知识产权。</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2、货物必须符合或优于国家（行业）国家通用检测标准，以及本项目招标文件的质量要求和技术指标与出厂标准。</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3、货物制造质量出现问题，成交供应商应负责三包（包修、包换、包退），费用由成交供应商负担，采购人有权到成交供应商生产场地检查货物质量和生产进度。</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4、货到现场后由于采购人保管不当造成的质量问题，成交供应商亦应负责修理，但费用由采购人负担。</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（二）交货及验收</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成交供应商交货期限为合同签订生效后的30日内，在合同签订生效之日起30天内交货到采购人指定地点，随即在30日内全部完成安装调试验收合格交付使用，(如由于采购人的原因造成合同延迟签订或验收的，时间顺延)。交货验收时须提供产品质检部门从同类产品中抽样检查合格的检测报告。</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2、验收由采购人组织，成交供应商配合进行：</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(1)货物在成交供应商通知安装调试完毕后 3 日内初步验收。初步验收合格后，进入 30日 试用期；试用期间发生重大质量问题，修复后试用相应顺延；试用期结束后 3 日内完成最终验收；</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验收标准：按国家有关规定及《绵阳市财政局关于进一步加强履约验收管理的通知》(绵财采〔2019〕22号)、采购人招标文件的质量要求和技术指标、成交供应商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(3)验收时如发现所交付的货物有短装、次品、损坏或其它不符合标准及本合同规定之情形者，采购人应做出详尽的现场记录，或由双方签署备忘录，此现场记录或备忘录可用作补充、缺失和更换损坏部件的有效证据，由此产生的时间延误与有关费用由成交供应商承担，验收期限相应顺延；</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(4)如质量验收合格，双方签署验收报告，验收完成后开始三年的免费质保期。</w:t>
      </w:r>
    </w:p>
    <w:p>
      <w:r>
        <w:rPr>
          <w:rFonts w:hint="eastAsia"/>
          <w:lang w:eastAsia="zh-CN"/>
        </w:rPr>
        <w:t>（</w:t>
      </w:r>
      <w:r>
        <w:rPr>
          <w:rFonts w:hint="eastAsia"/>
          <w:lang w:val="en-US" w:eastAsia="zh-CN"/>
        </w:rPr>
        <w:t>5</w:t>
      </w:r>
      <w:r>
        <w:rPr>
          <w:rFonts w:hint="eastAsia"/>
          <w:lang w:eastAsia="zh-CN"/>
        </w:rPr>
        <w:t>）</w:t>
      </w:r>
      <w:r>
        <w:rPr>
          <w:rFonts w:hint="eastAsia"/>
        </w:rPr>
        <w:t>验收</w:t>
      </w:r>
      <w:r>
        <w:rPr>
          <w:rFonts w:hint="eastAsia"/>
          <w:lang w:val="en-US" w:eastAsia="zh-CN"/>
        </w:rPr>
        <w:t>的具体</w:t>
      </w:r>
      <w:r>
        <w:rPr>
          <w:rFonts w:hint="eastAsia"/>
        </w:rPr>
        <w:t>要求：</w:t>
      </w:r>
    </w:p>
    <w:p>
      <w:pPr>
        <w:numPr>
          <w:ilvl w:val="0"/>
          <w:numId w:val="3"/>
        </w:numPr>
        <w:ind w:left="0" w:leftChars="0" w:firstLine="420" w:firstLineChars="200"/>
      </w:pPr>
      <w:r>
        <w:rPr>
          <w:rFonts w:hint="eastAsia"/>
        </w:rPr>
        <w:t>电池安装平稳、均匀、整齐。</w:t>
      </w:r>
    </w:p>
    <w:p>
      <w:pPr>
        <w:numPr>
          <w:ilvl w:val="0"/>
          <w:numId w:val="3"/>
        </w:numPr>
        <w:ind w:left="0" w:leftChars="0" w:firstLine="420" w:firstLineChars="200"/>
      </w:pPr>
      <w:r>
        <w:rPr>
          <w:rFonts w:hint="eastAsia"/>
        </w:rPr>
        <w:t>更换电池按照原有布局安装，安装间距符合原布局要求，便于蓄电池安装、维护和测量。</w:t>
      </w:r>
    </w:p>
    <w:p>
      <w:pPr>
        <w:numPr>
          <w:ilvl w:val="0"/>
          <w:numId w:val="3"/>
        </w:numPr>
        <w:ind w:left="0" w:leftChars="0" w:firstLine="420" w:firstLineChars="200"/>
      </w:pPr>
      <w:r>
        <w:rPr>
          <w:rFonts w:hint="eastAsia"/>
        </w:rPr>
        <w:t>蓄电池采用不锈钢或铜（镀锌）螺钉、螺栓连接，连接时加弹簧垫圈和平垫圈。连接条、螺栓、螺母齐全，连接牢固。</w:t>
      </w:r>
    </w:p>
    <w:p>
      <w:pPr>
        <w:numPr>
          <w:ilvl w:val="0"/>
          <w:numId w:val="3"/>
        </w:numPr>
        <w:ind w:left="0" w:leftChars="0" w:firstLine="420" w:firstLineChars="200"/>
      </w:pPr>
      <w:r>
        <w:rPr>
          <w:rFonts w:hint="eastAsia"/>
        </w:rPr>
        <w:t>蓄电池安装过程不得损伤室内设施、设备，必要部分做好防护措施。安装完毕，需保证架牢固可靠，不得凹陷变形。</w:t>
      </w:r>
    </w:p>
    <w:p>
      <w:pPr>
        <w:numPr>
          <w:ilvl w:val="0"/>
          <w:numId w:val="3"/>
        </w:numPr>
        <w:ind w:left="0" w:leftChars="0" w:firstLine="420" w:firstLineChars="200"/>
      </w:pPr>
      <w:r>
        <w:rPr>
          <w:rFonts w:hint="eastAsia"/>
        </w:rPr>
        <w:t>蓄电池正、负极性接线正确。</w:t>
      </w:r>
    </w:p>
    <w:p>
      <w:pPr>
        <w:numPr>
          <w:ilvl w:val="0"/>
          <w:numId w:val="3"/>
        </w:numPr>
        <w:ind w:left="0" w:leftChars="0" w:firstLine="420" w:firstLineChars="200"/>
      </w:pPr>
      <w:r>
        <w:rPr>
          <w:rFonts w:hint="eastAsia"/>
        </w:rPr>
        <w:t>蓄电池组引出线采用阻燃电缆，其正极和负极的引出线不应共用一根电缆 。线耳与导线要压接搪锡焊牢，接头部分热缩包牢。电缆接头无锈蚀，电缆孔封堵良好。</w:t>
      </w:r>
    </w:p>
    <w:p>
      <w:pPr>
        <w:numPr>
          <w:ilvl w:val="0"/>
          <w:numId w:val="3"/>
        </w:numPr>
        <w:ind w:left="0" w:leftChars="0" w:firstLine="420" w:firstLineChars="200"/>
      </w:pPr>
      <w:r>
        <w:rPr>
          <w:rFonts w:hint="eastAsia"/>
        </w:rPr>
        <w:t>电池接入系统并充电完成后，UPS系统自检无报错。</w:t>
      </w:r>
    </w:p>
    <w:p>
      <w:pPr>
        <w:numPr>
          <w:ilvl w:val="0"/>
          <w:numId w:val="3"/>
        </w:numPr>
        <w:ind w:left="0" w:leftChars="0" w:firstLine="420" w:firstLineChars="200"/>
      </w:pPr>
      <w:r>
        <w:rPr>
          <w:rFonts w:hint="eastAsia"/>
        </w:rPr>
        <w:t>通过医院UPS电池维保单位的检查合格。</w:t>
      </w:r>
    </w:p>
    <w:p>
      <w:pPr>
        <w:numPr>
          <w:ilvl w:val="0"/>
          <w:numId w:val="3"/>
        </w:numPr>
        <w:ind w:left="0" w:leftChars="0" w:firstLine="420" w:firstLineChars="200"/>
        <w:rPr>
          <w:rFonts w:hint="eastAsia" w:ascii="宋体" w:hAnsi="宋体" w:eastAsia="宋体" w:cs="Arial Unicode MS"/>
          <w:kern w:val="0"/>
          <w:sz w:val="21"/>
          <w:szCs w:val="21"/>
          <w:lang w:val="en-US" w:eastAsia="zh-CN"/>
        </w:rPr>
      </w:pPr>
      <w:r>
        <w:rPr>
          <w:rFonts w:hint="eastAsia"/>
        </w:rPr>
        <w:t>在安装、试运行，蓄电池发生异常及故障时，中标人应免费更换。</w:t>
      </w:r>
    </w:p>
    <w:p>
      <w:pPr>
        <w:numPr>
          <w:ilvl w:val="0"/>
          <w:numId w:val="4"/>
        </w:num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货物安装完成后  7  日内，采购人无故不进行验收工作并已使用货物的，视同已安装调试完成并验收合格。</w:t>
      </w:r>
    </w:p>
    <w:p>
      <w:pPr>
        <w:numPr>
          <w:ilvl w:val="0"/>
          <w:numId w:val="4"/>
        </w:numPr>
        <w:spacing w:line="500" w:lineRule="exact"/>
        <w:ind w:left="0" w:leftChars="0" w:firstLine="0" w:firstLineChars="0"/>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成交供应商应将所提供货物的装箱清单、配件、随机工具、用户使用手册、原厂保修卡等资料交付给采购人；成交供应商不能完整交付货物及本款规定的单证和工具的，必须负责补齐，否则视为未按合同约定交货。</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5、如货物经成交供应商 3 次维修仍不能达到合同约定的质量标准，采购人有权退货，并视作成交供应商不能交付货物而须支付违约赔偿金给采购人，采购人还可依法追究成交供应商的违约责任。</w:t>
      </w:r>
    </w:p>
    <w:p>
      <w:pPr>
        <w:numPr>
          <w:ilvl w:val="0"/>
          <w:numId w:val="5"/>
        </w:num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供应商须为自己供应的蓄电池向招标方提供三年质保的承诺书（自验收通过之日起），三年之内电池出现故障，均须在48小时内免费更换同型号、同尺寸全新电池并安装到位。</w:t>
      </w:r>
    </w:p>
    <w:p>
      <w:pPr>
        <w:numPr>
          <w:ilvl w:val="0"/>
          <w:numId w:val="5"/>
        </w:numPr>
        <w:spacing w:line="500" w:lineRule="exact"/>
        <w:jc w:val="left"/>
        <w:rPr>
          <w:rFonts w:hint="default" w:ascii="宋体" w:hAnsi="宋体" w:eastAsia="宋体" w:cs="Arial Unicode MS"/>
          <w:kern w:val="0"/>
          <w:sz w:val="21"/>
          <w:szCs w:val="21"/>
          <w:lang w:val="en-US" w:eastAsia="zh-CN"/>
        </w:rPr>
      </w:pPr>
      <w:r>
        <w:rPr>
          <w:rFonts w:hint="eastAsia"/>
        </w:rPr>
        <w:t>原报废电池的处置。原有蓄电池须由中标方在本次招标项目所采购的电池安装时进行的拆卸，拆卸后将蓄电池搬运到采购人指定的暂存地点</w:t>
      </w:r>
      <w:r>
        <w:rPr>
          <w:rFonts w:hint="eastAsia"/>
          <w:lang w:eastAsia="zh-CN"/>
        </w:rPr>
        <w:t>。</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（三）付款方式</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1、全部货物安装调试完毕并验收合格之日起，采购人接到成交供应商通知与票据凭证等资料以后的 14个工作日内，按照财政性资金支付有关规定，向成交供应商支付合同总价的95%；验收合格满1年后，采购人接到成交供应商通知与票据凭证等资料以后的 14个工作日内，向成交供应商支付合同总价的5%，。</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2、成交供应商必须向采购人出具合法有效完整的完税发票及凭证等资料进行支付结算。</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（四）售后服务</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1、质保期：自验收合格之日，所有硬件设备原厂免费质保期不得少于3年。</w:t>
      </w:r>
    </w:p>
    <w:p>
      <w:pPr>
        <w:spacing w:line="500" w:lineRule="exact"/>
        <w:jc w:val="left"/>
        <w:rPr>
          <w:rFonts w:hint="eastAsia"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如发生问题，成交供应商应首先采用电话技术支持及QQ远程等远端遥控支持。设立专属客服经理（需指定专人），并提供7×24小时电话热线以及远程支持，成交供应商应在接到报修或维护的通知后立即处理。若因产品本身或成交供应商的责任，使得出现系统故障，成交供应商须在1小时内故障响应，2小时内恢复。不能通过电话或远程管理解决故障，售后技术服务团队须在2小时内到达现场进行进行技术支持。</w:t>
      </w:r>
    </w:p>
    <w:p>
      <w:pPr>
        <w:rPr>
          <w:rFonts w:hint="default" w:ascii="宋体" w:hAnsi="宋体" w:cs="宋体"/>
          <w:szCs w:val="21"/>
          <w:lang w:val="en-US" w:eastAsia="zh-CN"/>
        </w:rPr>
      </w:pPr>
      <w:r>
        <w:rPr>
          <w:rFonts w:hint="eastAsia" w:ascii="宋体" w:hAnsi="宋体" w:eastAsia="宋体" w:cs="Arial Unicode MS"/>
          <w:kern w:val="0"/>
          <w:sz w:val="21"/>
          <w:szCs w:val="21"/>
          <w:lang w:val="en-US" w:eastAsia="zh-CN"/>
        </w:rPr>
        <w:t>3、成交供应商在实施过程中须充分考虑医院业务连续性问题，做好相关应急备用方案。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BC0A7"/>
    <w:multiLevelType w:val="singleLevel"/>
    <w:tmpl w:val="04CBC0A7"/>
    <w:lvl w:ilvl="0" w:tentative="0">
      <w:start w:val="1"/>
      <w:numFmt w:val="decimal"/>
      <w:lvlText w:val="%1."/>
      <w:lvlJc w:val="left"/>
      <w:pPr>
        <w:ind w:left="425" w:hanging="425"/>
      </w:pPr>
      <w:rPr>
        <w:rFonts w:hint="default"/>
      </w:rPr>
    </w:lvl>
  </w:abstractNum>
  <w:abstractNum w:abstractNumId="1">
    <w:nsid w:val="064B79F7"/>
    <w:multiLevelType w:val="singleLevel"/>
    <w:tmpl w:val="064B79F7"/>
    <w:lvl w:ilvl="0" w:tentative="0">
      <w:start w:val="1"/>
      <w:numFmt w:val="decimalEnclosedCircleChinese"/>
      <w:suff w:val="nothing"/>
      <w:lvlText w:val="%1　"/>
      <w:lvlJc w:val="left"/>
      <w:pPr>
        <w:ind w:left="0" w:firstLine="400"/>
      </w:pPr>
      <w:rPr>
        <w:rFonts w:hint="eastAsia"/>
      </w:rPr>
    </w:lvl>
  </w:abstractNum>
  <w:abstractNum w:abstractNumId="2">
    <w:nsid w:val="07E1A1DE"/>
    <w:multiLevelType w:val="singleLevel"/>
    <w:tmpl w:val="07E1A1DE"/>
    <w:lvl w:ilvl="0" w:tentative="0">
      <w:start w:val="3"/>
      <w:numFmt w:val="decimal"/>
      <w:suff w:val="nothing"/>
      <w:lvlText w:val="%1、"/>
      <w:lvlJc w:val="left"/>
    </w:lvl>
  </w:abstractNum>
  <w:abstractNum w:abstractNumId="3">
    <w:nsid w:val="43DA9F46"/>
    <w:multiLevelType w:val="singleLevel"/>
    <w:tmpl w:val="43DA9F46"/>
    <w:lvl w:ilvl="0" w:tentative="0">
      <w:start w:val="6"/>
      <w:numFmt w:val="decimal"/>
      <w:suff w:val="nothing"/>
      <w:lvlText w:val="%1、"/>
      <w:lvlJc w:val="left"/>
    </w:lvl>
  </w:abstractNum>
  <w:abstractNum w:abstractNumId="4">
    <w:nsid w:val="78C8B5E1"/>
    <w:multiLevelType w:val="singleLevel"/>
    <w:tmpl w:val="78C8B5E1"/>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NlNzY2NmNhM2U4ZTNjZTBhNWM4MGM4NDU2ZTAifQ=="/>
  </w:docVars>
  <w:rsids>
    <w:rsidRoot w:val="00000000"/>
    <w:rsid w:val="7B3A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2023-06-27T09:22:26Z</dcterms:created>
  <dc:creator>Administrator</dc:creator>
  <cp:lastModifiedBy>Yyh</cp:lastModifiedBy>
  <dcterms:modified xsi:type="dcterms:W3CDTF">2023-06-28T00:03:08Z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D81733D4DB4446359B6B2F13DA9EE8B7_12</vt:lpwstr>
  </property>
</Properties>
</file>